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B5333">
      <w:pPr>
        <w:spacing w:line="400" w:lineRule="exact"/>
        <w:jc w:val="left"/>
        <w:rPr>
          <w:rFonts w:hint="eastAsia" w:ascii="黑体" w:hAnsi="黑体" w:eastAsia="黑体"/>
          <w:sz w:val="32"/>
          <w:szCs w:val="32"/>
        </w:rPr>
      </w:pPr>
      <w:r>
        <w:rPr>
          <w:rFonts w:hint="eastAsia" w:ascii="黑体" w:hAnsi="黑体" w:eastAsia="黑体"/>
          <w:sz w:val="32"/>
          <w:szCs w:val="32"/>
        </w:rPr>
        <w:t>附件2</w:t>
      </w:r>
    </w:p>
    <w:p w14:paraId="48298878">
      <w:pPr>
        <w:spacing w:line="240" w:lineRule="exact"/>
        <w:rPr>
          <w:rFonts w:hint="eastAsia" w:cs="宋体" w:asciiTheme="majorEastAsia" w:hAnsiTheme="majorEastAsia" w:eastAsiaTheme="majorEastAsia"/>
          <w:b/>
          <w:bCs/>
          <w:kern w:val="0"/>
          <w:sz w:val="44"/>
          <w:szCs w:val="44"/>
        </w:rPr>
      </w:pPr>
    </w:p>
    <w:p w14:paraId="0F45B17A">
      <w:pPr>
        <w:spacing w:line="580" w:lineRule="exact"/>
        <w:jc w:val="center"/>
        <w:rPr>
          <w:rFonts w:hint="eastAsia" w:ascii="长城小标宋体" w:hAnsi="黑体" w:eastAsia="长城小标宋体"/>
          <w:sz w:val="32"/>
          <w:szCs w:val="32"/>
        </w:rPr>
      </w:pPr>
      <w:r>
        <w:rPr>
          <w:rFonts w:hint="eastAsia" w:ascii="长城小标宋体" w:eastAsia="长城小标宋体" w:cs="宋体" w:hAnsiTheme="majorEastAsia"/>
          <w:bCs/>
          <w:kern w:val="0"/>
          <w:sz w:val="44"/>
          <w:szCs w:val="44"/>
        </w:rPr>
        <w:t>人身保险公司服务评价定量指标</w:t>
      </w:r>
    </w:p>
    <w:p w14:paraId="336C2D6E">
      <w:pPr>
        <w:spacing w:line="300" w:lineRule="exact"/>
        <w:jc w:val="left"/>
        <w:rPr>
          <w:rFonts w:ascii="黑体" w:hAnsi="黑体" w:eastAsia="黑体"/>
          <w:sz w:val="32"/>
          <w:szCs w:val="32"/>
        </w:rPr>
      </w:pPr>
    </w:p>
    <w:tbl>
      <w:tblPr>
        <w:tblStyle w:val="15"/>
        <w:tblW w:w="9322" w:type="dxa"/>
        <w:tblInd w:w="0" w:type="dxa"/>
        <w:tblLayout w:type="autofit"/>
        <w:tblCellMar>
          <w:top w:w="0" w:type="dxa"/>
          <w:left w:w="108" w:type="dxa"/>
          <w:bottom w:w="0" w:type="dxa"/>
          <w:right w:w="108" w:type="dxa"/>
        </w:tblCellMar>
      </w:tblPr>
      <w:tblGrid>
        <w:gridCol w:w="2011"/>
        <w:gridCol w:w="91"/>
        <w:gridCol w:w="7220"/>
      </w:tblGrid>
      <w:tr w14:paraId="68ABBD55">
        <w:trPr>
          <w:trHeight w:val="420"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52987C">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sz w:val="28"/>
                <w:szCs w:val="28"/>
              </w:rPr>
              <w:t>指标定义及统计说明</w:t>
            </w:r>
          </w:p>
        </w:tc>
      </w:tr>
      <w:tr w14:paraId="520A520C">
        <w:trPr>
          <w:trHeight w:val="420"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1B9BE0">
            <w:pPr>
              <w:widowControl/>
              <w:spacing w:line="340" w:lineRule="exact"/>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1．保单15日送达率（15%）</w:t>
            </w:r>
          </w:p>
        </w:tc>
      </w:tr>
      <w:tr w14:paraId="144CD811">
        <w:trPr>
          <w:trHeight w:val="32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0A49757E">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68BF125D">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732E9D2F">
        <w:trPr>
          <w:trHeight w:val="41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72E8EBB0">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432BEF2B">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评价保险公司：反映新契约出单时效。</w:t>
            </w:r>
          </w:p>
        </w:tc>
      </w:tr>
      <w:tr w14:paraId="11D41904">
        <w:trPr>
          <w:trHeight w:val="113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68340F7">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78B326A">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保单15日送达率=</w:t>
            </w:r>
            <w:r>
              <w:rPr>
                <w:rFonts w:hint="eastAsia" w:ascii="仿宋_GB2312" w:hAnsi="宋体" w:eastAsia="仿宋_GB2312" w:cs="宋体"/>
                <w:color w:val="000000"/>
                <w:kern w:val="0"/>
                <w:sz w:val="28"/>
                <w:szCs w:val="28"/>
              </w:rPr>
              <w:t>评价区间内从消费者填写投保单信息之日起至消费者签收保单回执之日止的时间小于或等于15天的保单件数/评价区间内所有承保保单件数×100%</w:t>
            </w:r>
          </w:p>
        </w:tc>
      </w:tr>
      <w:tr w14:paraId="2F1BA847">
        <w:trPr>
          <w:trHeight w:val="2787"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7ACFB5EE">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A75B2D5">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1．该指标中的个人业务仅指来源于代理人和保险经纪公司以及保险代理公司渠道的个人业务，不含银保、电销和网销业务。</w:t>
            </w:r>
          </w:p>
          <w:p w14:paraId="55CFB00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2．该指标中保单的统计范围是指投保人为个人且保险期限在一年及以上的人身保险新保业务，不含契撤件、附加险。</w:t>
            </w:r>
          </w:p>
          <w:p w14:paraId="40F1CD5F">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3．起期和终期：</w:t>
            </w:r>
          </w:p>
          <w:p w14:paraId="2AFC6398">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（1）起期：消费者提交投保单日期（在投保单上签字日期）。</w:t>
            </w:r>
          </w:p>
          <w:p w14:paraId="643ED985">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（2）终期：消费者签收保单回执时的日期。</w:t>
            </w:r>
          </w:p>
        </w:tc>
      </w:tr>
      <w:tr w14:paraId="0E968B16">
        <w:trPr>
          <w:trHeight w:val="424"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401B779">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34DEDB97">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保险公司报送，系统供数。</w:t>
            </w:r>
          </w:p>
        </w:tc>
      </w:tr>
      <w:tr w14:paraId="4887EEB8">
        <w:trPr>
          <w:trHeight w:val="1111"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062DF425">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4D2E416A">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1.反映保险公司承保服务质量，从消费者角度衡量，可量化。</w:t>
            </w:r>
          </w:p>
          <w:p w14:paraId="0B3B9862">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2.以消费者感知为中心，不区分渠道差异。</w:t>
            </w:r>
          </w:p>
        </w:tc>
      </w:tr>
      <w:tr w14:paraId="0A49027F">
        <w:trPr>
          <w:trHeight w:val="419"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CD86E4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01E25025">
            <w:pPr>
              <w:widowControl/>
              <w:spacing w:line="340" w:lineRule="exact"/>
              <w:rPr>
                <w:rFonts w:hint="eastAsia" w:ascii="仿宋_GB2312" w:hAnsi="宋体" w:eastAsia="仿宋_GB2312" w:cs="宋体"/>
                <w:color w:val="000000"/>
                <w:kern w:val="0"/>
                <w:sz w:val="28"/>
                <w:szCs w:val="28"/>
              </w:rPr>
            </w:pPr>
          </w:p>
        </w:tc>
      </w:tr>
      <w:tr w14:paraId="61166168">
        <w:trPr>
          <w:trHeight w:val="375"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3DAAEB">
            <w:pPr>
              <w:widowControl/>
              <w:spacing w:line="340" w:lineRule="exact"/>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2．电话呼入人工接通率（5%）</w:t>
            </w:r>
          </w:p>
        </w:tc>
      </w:tr>
      <w:tr w14:paraId="021FEAAC">
        <w:trPr>
          <w:trHeight w:val="348"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660F7F9">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A153045">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75858E43">
        <w:trPr>
          <w:trHeight w:val="452"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19DFC53F">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E0B654">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评价保险公司：反映保险公司接通消费者来电的水平。</w:t>
            </w:r>
          </w:p>
        </w:tc>
      </w:tr>
      <w:tr w14:paraId="72E03992">
        <w:trPr>
          <w:trHeight w:val="696"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7F74D35E">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FED43E">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电话呼入人工接通率=</w:t>
            </w:r>
            <w:r>
              <w:rPr>
                <w:rFonts w:hint="eastAsia" w:ascii="仿宋_GB2312" w:hAnsi="宋体" w:eastAsia="仿宋_GB2312" w:cs="宋体"/>
                <w:color w:val="000000"/>
                <w:sz w:val="28"/>
                <w:szCs w:val="28"/>
              </w:rPr>
              <w:t>消费者来电选择人工服务键后专线人员接通的电话数</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sz w:val="28"/>
                <w:szCs w:val="28"/>
              </w:rPr>
              <w:t>所有请求人工服务电话数</w:t>
            </w:r>
            <w:r>
              <w:rPr>
                <w:rFonts w:hint="eastAsia" w:ascii="仿宋_GB2312" w:hAnsi="宋体" w:eastAsia="仿宋_GB2312" w:cs="宋体"/>
                <w:color w:val="000000"/>
                <w:kern w:val="0"/>
                <w:sz w:val="28"/>
                <w:szCs w:val="28"/>
              </w:rPr>
              <w:t>×100%</w:t>
            </w:r>
          </w:p>
        </w:tc>
      </w:tr>
      <w:tr w14:paraId="4C57850F">
        <w:trPr>
          <w:trHeight w:val="555"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424D8B61">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AF50DA">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1．呼入件数为电话呼入转人工服务的申请件数(请求人工服务量)。</w:t>
            </w:r>
          </w:p>
          <w:p w14:paraId="2BEC6A9C">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2．呼入接通件数为电话呼入转人工服务并被人工应答的件数。</w:t>
            </w:r>
          </w:p>
        </w:tc>
      </w:tr>
      <w:tr w14:paraId="2E41D462">
        <w:trPr>
          <w:trHeight w:val="399"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3AE68EA5">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0F8DC8">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保险公司报送，系统供数。</w:t>
            </w:r>
          </w:p>
        </w:tc>
      </w:tr>
      <w:tr w14:paraId="40C69236">
        <w:trPr>
          <w:trHeight w:val="699"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3D79F201">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0F974C">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sz w:val="28"/>
                <w:szCs w:val="28"/>
              </w:rPr>
              <w:t>该指标考察保险公司电话服务中心专线人员处理消费者人工服务请求的效率。</w:t>
            </w:r>
          </w:p>
        </w:tc>
      </w:tr>
      <w:tr w14:paraId="28D86846">
        <w:trPr>
          <w:trHeight w:val="69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46BE60A">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94E6A4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如公司电话服务系统由总公司集中统一管理，各省分公司数据可用总公司数据代替。</w:t>
            </w:r>
          </w:p>
        </w:tc>
      </w:tr>
      <w:tr w14:paraId="75A9BC1B">
        <w:trPr>
          <w:trHeight w:val="421"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1725BD">
            <w:pPr>
              <w:widowControl/>
              <w:spacing w:line="340" w:lineRule="exact"/>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3．犹豫期内电话回访成功率（10%）</w:t>
            </w:r>
          </w:p>
        </w:tc>
      </w:tr>
      <w:tr w14:paraId="00601D22">
        <w:trPr>
          <w:trHeight w:val="4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502035AB">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A5E55C3">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35A6A23B">
        <w:trPr>
          <w:trHeight w:val="433"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5D945AD9">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5E9C93">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评价保险公司：反映犹豫期回访效率。</w:t>
            </w:r>
          </w:p>
        </w:tc>
      </w:tr>
      <w:tr w14:paraId="2077E744">
        <w:trPr>
          <w:trHeight w:val="1120"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42316418">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EED952">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犹豫期内电话回访成功率=</w:t>
            </w:r>
            <w:r>
              <w:rPr>
                <w:rFonts w:hint="eastAsia" w:ascii="仿宋_GB2312" w:hAnsi="宋体" w:eastAsia="仿宋_GB2312" w:cs="宋体"/>
                <w:color w:val="000000"/>
                <w:kern w:val="0"/>
                <w:sz w:val="28"/>
                <w:szCs w:val="28"/>
              </w:rPr>
              <w:t>评价区间内新单犹豫期电话回访成功件数/评价区间内新单犹豫期应电话回访总件数×100%</w:t>
            </w:r>
          </w:p>
        </w:tc>
      </w:tr>
      <w:tr w14:paraId="1678FD6D">
        <w:trPr>
          <w:trHeight w:val="4666"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69C45CD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551EC9">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应电话回访的新单指保险期限在一年以上（不含一年）、承保日期在评价区间内的个人业务，不包括犹豫期解除合同和犹豫期理赔终止的新单，以及附加险和消费者拒绝回访的新单。上述业务中虽然犹豫期在统计日期外、但回访成功的保单件数应计入分子。</w:t>
            </w:r>
          </w:p>
          <w:p w14:paraId="64FD2DF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犹豫期”是指从投保人收到保单（包括纸质保单、电子保单等多种形式）并签收之日起（个险、网销及电销渠道业务为10日，银保渠道为15日）的这段时期。保险公司给予消费者超过10/15日时间犹豫期的，可按规定的犹豫期处理。</w:t>
            </w:r>
          </w:p>
          <w:p w14:paraId="5BBC01C7">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电话回访成功的认定标准是指回访人员将回访需要告知和询问的内容在上述“犹豫期”时段内用电话方式全部完成。如果下发工单核实联系电话并在犹豫期内按照前述认定标准完成电话回访的，视为犹豫期回访成功。</w:t>
            </w:r>
          </w:p>
        </w:tc>
      </w:tr>
      <w:tr w14:paraId="3FCA4C8C">
        <w:trPr>
          <w:trHeight w:val="409"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2A90FCA5">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4AAA8A">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保险公司报送，系统供数。</w:t>
            </w:r>
          </w:p>
        </w:tc>
      </w:tr>
      <w:tr w14:paraId="7A69F799">
        <w:trPr>
          <w:trHeight w:val="1691"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5BF19918">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152F10">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1.保证保险消费者在犹豫期的合法权益，通过电话回访可以更有效的发现销售环节的问题。</w:t>
            </w:r>
          </w:p>
          <w:p w14:paraId="2E590CC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2.完成犹豫期回访规定告知和确认事项即为成功，如回访发现问题则按相关规定跟进处理和解决，不影响回访成功率的计算。</w:t>
            </w:r>
          </w:p>
        </w:tc>
      </w:tr>
      <w:tr w14:paraId="7E36CA58">
        <w:trPr>
          <w:trHeight w:val="444"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243CFBC4">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9A3B01">
            <w:pPr>
              <w:widowControl/>
              <w:spacing w:line="340" w:lineRule="exact"/>
              <w:rPr>
                <w:rFonts w:hint="eastAsia" w:ascii="仿宋_GB2312" w:hAnsi="宋体" w:eastAsia="仿宋_GB2312" w:cs="宋体"/>
                <w:color w:val="000000"/>
                <w:kern w:val="0"/>
                <w:sz w:val="28"/>
                <w:szCs w:val="28"/>
              </w:rPr>
            </w:pPr>
          </w:p>
        </w:tc>
      </w:tr>
      <w:tr w14:paraId="446867AE">
        <w:trPr>
          <w:trHeight w:val="372"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2DB10F">
            <w:pPr>
              <w:widowControl/>
              <w:spacing w:line="340" w:lineRule="exact"/>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4．理赔服务时效（20%）</w:t>
            </w:r>
          </w:p>
        </w:tc>
      </w:tr>
      <w:tr w14:paraId="650CBA27">
        <w:trPr>
          <w:trHeight w:val="40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424B7ADB">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5B5B60C">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025B314B">
        <w:trPr>
          <w:trHeight w:val="427"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32A5CB95">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D344F8">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评价保险公司:反映理赔服务效率。</w:t>
            </w:r>
          </w:p>
        </w:tc>
      </w:tr>
      <w:tr w14:paraId="4E4A6C42">
        <w:trPr>
          <w:trHeight w:val="703" w:hRule="atLeast"/>
        </w:trPr>
        <w:tc>
          <w:tcPr>
            <w:tcW w:w="2011" w:type="dxa"/>
            <w:tcBorders>
              <w:top w:val="single" w:color="auto" w:sz="4" w:space="0"/>
              <w:left w:val="single" w:color="auto" w:sz="4" w:space="0"/>
              <w:bottom w:val="single" w:color="auto" w:sz="4" w:space="0"/>
              <w:right w:val="nil"/>
            </w:tcBorders>
            <w:shd w:val="clear" w:color="auto" w:fill="auto"/>
            <w:vAlign w:val="center"/>
          </w:tcPr>
          <w:p w14:paraId="2F0E634F">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1E3B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理赔服务时效=</w:t>
            </w:r>
            <w:r>
              <w:rPr>
                <w:rFonts w:hint="eastAsia" w:ascii="仿宋_GB2312" w:hAnsi="宋体" w:eastAsia="仿宋_GB2312" w:cs="宋体"/>
                <w:color w:val="000000"/>
                <w:kern w:val="0"/>
                <w:sz w:val="28"/>
                <w:szCs w:val="28"/>
              </w:rPr>
              <w:t>评价区间内所有已决赔案出险日至结案的天数总和/评价区间内所有已决赔案件数</w:t>
            </w:r>
          </w:p>
        </w:tc>
      </w:tr>
      <w:tr w14:paraId="1AD40289">
        <w:trPr>
          <w:trHeight w:val="713"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7C40EB06">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3C34A2B7">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1．起期：</w:t>
            </w:r>
            <w:r>
              <w:rPr>
                <w:rFonts w:hint="eastAsia" w:ascii="仿宋_GB2312" w:hAnsi="宋体" w:eastAsia="仿宋_GB2312" w:cs="宋体"/>
                <w:kern w:val="0"/>
                <w:sz w:val="28"/>
                <w:szCs w:val="28"/>
              </w:rPr>
              <w:t>消费者提交理赔申请日期。</w:t>
            </w:r>
          </w:p>
          <w:p w14:paraId="411FE71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2．终期：公司做出理赔决定且需赔付的案件提交付款动作的时间。</w:t>
            </w:r>
          </w:p>
        </w:tc>
      </w:tr>
      <w:tr w14:paraId="612FF509">
        <w:trPr>
          <w:trHeight w:val="444"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E58615B">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4FD0B1EB">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保险公司报送，系统供数。</w:t>
            </w:r>
          </w:p>
        </w:tc>
      </w:tr>
      <w:tr w14:paraId="2920D33C">
        <w:trPr>
          <w:trHeight w:val="686"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5FAD476B">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077B5C24">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主要考核保险公司理赔结案情况，以客观评估保险公司整体案件处理效率。</w:t>
            </w:r>
          </w:p>
        </w:tc>
      </w:tr>
      <w:tr w14:paraId="3A0A8D1F">
        <w:trPr>
          <w:trHeight w:val="45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52BA17AD">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6259F3F2">
            <w:pPr>
              <w:widowControl/>
              <w:spacing w:line="340" w:lineRule="exact"/>
              <w:rPr>
                <w:rFonts w:hint="eastAsia" w:ascii="仿宋_GB2312" w:hAnsi="宋体" w:eastAsia="仿宋_GB2312" w:cs="宋体"/>
                <w:b/>
                <w:bCs/>
                <w:color w:val="000000"/>
                <w:kern w:val="0"/>
                <w:sz w:val="28"/>
                <w:szCs w:val="28"/>
              </w:rPr>
            </w:pPr>
          </w:p>
        </w:tc>
      </w:tr>
      <w:tr w14:paraId="1696CF74">
        <w:trPr>
          <w:trHeight w:val="269"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DEC72C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
                <w:bCs/>
                <w:color w:val="000000"/>
                <w:kern w:val="0"/>
                <w:sz w:val="28"/>
                <w:szCs w:val="28"/>
              </w:rPr>
              <w:t>5．理赔获赔率（15%）</w:t>
            </w:r>
          </w:p>
        </w:tc>
      </w:tr>
      <w:tr w14:paraId="3EBC84C2">
        <w:trPr>
          <w:trHeight w:val="364" w:hRule="atLeast"/>
        </w:trPr>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313D42">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220" w:type="dxa"/>
            <w:tcBorders>
              <w:top w:val="single" w:color="auto" w:sz="4" w:space="0"/>
              <w:left w:val="nil"/>
              <w:bottom w:val="single" w:color="auto" w:sz="4" w:space="0"/>
              <w:right w:val="single" w:color="auto" w:sz="4" w:space="0"/>
            </w:tcBorders>
            <w:shd w:val="clear" w:color="auto" w:fill="auto"/>
            <w:vAlign w:val="center"/>
          </w:tcPr>
          <w:p w14:paraId="43750444">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04E555B3">
        <w:trPr>
          <w:trHeight w:val="387" w:hRule="atLeast"/>
        </w:trPr>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10FCE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220" w:type="dxa"/>
            <w:tcBorders>
              <w:top w:val="single" w:color="auto" w:sz="4" w:space="0"/>
              <w:left w:val="nil"/>
              <w:bottom w:val="single" w:color="auto" w:sz="4" w:space="0"/>
              <w:right w:val="single" w:color="auto" w:sz="4" w:space="0"/>
            </w:tcBorders>
            <w:shd w:val="clear" w:color="auto" w:fill="auto"/>
            <w:vAlign w:val="center"/>
          </w:tcPr>
          <w:p w14:paraId="0E8C8EF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评价保险公司：反映已决赔案中实际获赔的比率。</w:t>
            </w:r>
          </w:p>
        </w:tc>
      </w:tr>
      <w:tr w14:paraId="3F837791">
        <w:trPr>
          <w:trHeight w:val="690" w:hRule="atLeast"/>
        </w:trPr>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9151CA">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220" w:type="dxa"/>
            <w:tcBorders>
              <w:top w:val="single" w:color="auto" w:sz="4" w:space="0"/>
              <w:left w:val="nil"/>
              <w:bottom w:val="single" w:color="auto" w:sz="4" w:space="0"/>
              <w:right w:val="single" w:color="auto" w:sz="4" w:space="0"/>
            </w:tcBorders>
            <w:shd w:val="clear" w:color="auto" w:fill="auto"/>
            <w:vAlign w:val="center"/>
          </w:tcPr>
          <w:p w14:paraId="192CB45D">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理赔获赔率=</w:t>
            </w:r>
            <w:r>
              <w:rPr>
                <w:rFonts w:hint="eastAsia" w:ascii="仿宋_GB2312" w:hAnsi="宋体" w:eastAsia="仿宋_GB2312" w:cs="宋体"/>
                <w:color w:val="000000"/>
                <w:kern w:val="0"/>
                <w:sz w:val="28"/>
                <w:szCs w:val="28"/>
              </w:rPr>
              <w:t>评价区间内实际获赔的案件数/评价区间内已决赔案件数*100%</w:t>
            </w:r>
          </w:p>
        </w:tc>
      </w:tr>
      <w:tr w14:paraId="4539F170">
        <w:trPr>
          <w:trHeight w:val="473" w:hRule="atLeast"/>
        </w:trPr>
        <w:tc>
          <w:tcPr>
            <w:tcW w:w="2102" w:type="dxa"/>
            <w:gridSpan w:val="2"/>
            <w:tcBorders>
              <w:top w:val="single" w:color="auto" w:sz="4" w:space="0"/>
              <w:left w:val="single" w:color="auto" w:sz="4" w:space="0"/>
              <w:bottom w:val="single" w:color="auto" w:sz="4" w:space="0"/>
              <w:right w:val="nil"/>
            </w:tcBorders>
            <w:shd w:val="clear" w:color="auto" w:fill="auto"/>
            <w:vAlign w:val="center"/>
          </w:tcPr>
          <w:p w14:paraId="4B20734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220" w:type="dxa"/>
            <w:tcBorders>
              <w:top w:val="single" w:color="auto" w:sz="4" w:space="0"/>
              <w:left w:val="single" w:color="auto" w:sz="4" w:space="0"/>
              <w:bottom w:val="single" w:color="auto" w:sz="4" w:space="0"/>
              <w:right w:val="single" w:color="auto" w:sz="4" w:space="0"/>
            </w:tcBorders>
            <w:shd w:val="clear" w:color="auto" w:fill="auto"/>
            <w:vAlign w:val="center"/>
          </w:tcPr>
          <w:p w14:paraId="7D315A1E">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理赔获赔包括正常理赔、协议理赔等。</w:t>
            </w:r>
          </w:p>
        </w:tc>
      </w:tr>
      <w:tr w14:paraId="473EEF8B">
        <w:trPr>
          <w:trHeight w:val="409" w:hRule="atLeast"/>
        </w:trPr>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817095">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220" w:type="dxa"/>
            <w:tcBorders>
              <w:top w:val="single" w:color="auto" w:sz="4" w:space="0"/>
              <w:left w:val="nil"/>
              <w:bottom w:val="single" w:color="auto" w:sz="4" w:space="0"/>
              <w:right w:val="single" w:color="auto" w:sz="4" w:space="0"/>
            </w:tcBorders>
            <w:shd w:val="clear" w:color="auto" w:fill="auto"/>
            <w:noWrap/>
            <w:vAlign w:val="center"/>
          </w:tcPr>
          <w:p w14:paraId="5038F634">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保险公司报送，系统供数。</w:t>
            </w:r>
          </w:p>
        </w:tc>
      </w:tr>
      <w:tr w14:paraId="623696DF">
        <w:trPr>
          <w:trHeight w:val="315" w:hRule="atLeast"/>
        </w:trPr>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1D61D2">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220" w:type="dxa"/>
            <w:tcBorders>
              <w:top w:val="single" w:color="auto" w:sz="4" w:space="0"/>
              <w:left w:val="nil"/>
              <w:bottom w:val="single" w:color="auto" w:sz="4" w:space="0"/>
              <w:right w:val="single" w:color="auto" w:sz="4" w:space="0"/>
            </w:tcBorders>
            <w:shd w:val="clear" w:color="auto" w:fill="auto"/>
            <w:vAlign w:val="center"/>
          </w:tcPr>
          <w:p w14:paraId="23F16C4A">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把握实际理赔占已决赔案数量，进一步了解拒绝给付的案例原因。</w:t>
            </w:r>
          </w:p>
        </w:tc>
      </w:tr>
      <w:tr w14:paraId="72DFE379">
        <w:trPr>
          <w:trHeight w:val="345" w:hRule="atLeast"/>
        </w:trPr>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760A3">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220" w:type="dxa"/>
            <w:tcBorders>
              <w:top w:val="single" w:color="auto" w:sz="4" w:space="0"/>
              <w:left w:val="nil"/>
              <w:bottom w:val="single" w:color="auto" w:sz="4" w:space="0"/>
              <w:right w:val="single" w:color="auto" w:sz="4" w:space="0"/>
            </w:tcBorders>
            <w:shd w:val="clear" w:color="auto" w:fill="auto"/>
            <w:vAlign w:val="center"/>
          </w:tcPr>
          <w:p w14:paraId="719AB993">
            <w:pPr>
              <w:widowControl/>
              <w:spacing w:line="340" w:lineRule="exact"/>
              <w:rPr>
                <w:rFonts w:hint="eastAsia" w:ascii="仿宋_GB2312" w:hAnsi="宋体" w:eastAsia="仿宋_GB2312" w:cs="宋体"/>
                <w:color w:val="000000"/>
                <w:kern w:val="0"/>
                <w:sz w:val="28"/>
                <w:szCs w:val="28"/>
              </w:rPr>
            </w:pPr>
          </w:p>
        </w:tc>
      </w:tr>
      <w:tr w14:paraId="69EAFF61">
        <w:trPr>
          <w:trHeight w:val="378"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625CCF5">
            <w:pPr>
              <w:widowControl/>
              <w:spacing w:line="340" w:lineRule="exact"/>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6．保全时效（10%）</w:t>
            </w:r>
          </w:p>
        </w:tc>
      </w:tr>
      <w:tr w14:paraId="01206B76">
        <w:trPr>
          <w:trHeight w:val="28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06112FF5">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43DE8A5D">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4441D996">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EFF1E50">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989D13A">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评价保险公司：反映保全环节的服务时效。</w:t>
            </w:r>
          </w:p>
        </w:tc>
      </w:tr>
      <w:tr w14:paraId="697A1631">
        <w:trPr>
          <w:trHeight w:val="419"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66CD0D3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1C98C810">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保全时效=</w:t>
            </w:r>
            <w:r>
              <w:rPr>
                <w:rFonts w:hint="eastAsia" w:ascii="仿宋_GB2312" w:hAnsi="宋体" w:eastAsia="仿宋_GB2312" w:cs="宋体"/>
                <w:color w:val="000000"/>
                <w:kern w:val="0"/>
                <w:sz w:val="28"/>
                <w:szCs w:val="28"/>
              </w:rPr>
              <w:t>评价区间内申请保全件自申请至结案天数总和/评价区间内全部申请且已经结案的保全件</w:t>
            </w:r>
          </w:p>
        </w:tc>
      </w:tr>
      <w:tr w14:paraId="0E3BD806">
        <w:trPr>
          <w:trHeight w:val="102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42DA3ECA">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03B5C590">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1．包含评价区间内所有保全件，不分保全类别。</w:t>
            </w:r>
          </w:p>
          <w:p w14:paraId="11D35199">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2．统计日期以保全作业的各系统操作时间为准：</w:t>
            </w:r>
          </w:p>
          <w:p w14:paraId="3F116DB0">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（1）起期：保全件申请日期。</w:t>
            </w:r>
          </w:p>
          <w:p w14:paraId="48E52382">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（2）终期：保全件审核通过日期，不含付款时效，不含收款时效。</w:t>
            </w:r>
          </w:p>
        </w:tc>
      </w:tr>
      <w:tr w14:paraId="32A8F4F7">
        <w:trPr>
          <w:trHeight w:val="285"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222F5E7">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122BE752">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保险公司报送、系统供数。</w:t>
            </w:r>
          </w:p>
        </w:tc>
      </w:tr>
      <w:tr w14:paraId="4BB99450">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462EDB24">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nil"/>
              <w:bottom w:val="single" w:color="auto" w:sz="4" w:space="0"/>
              <w:right w:val="single" w:color="auto" w:sz="4" w:space="0"/>
            </w:tcBorders>
            <w:shd w:val="clear" w:color="auto" w:fill="auto"/>
            <w:noWrap/>
            <w:vAlign w:val="center"/>
          </w:tcPr>
          <w:p w14:paraId="478BCE54">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衡量保全业务处理效率。</w:t>
            </w:r>
          </w:p>
        </w:tc>
      </w:tr>
      <w:tr w14:paraId="0B4871F8">
        <w:trPr>
          <w:trHeight w:val="330"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25ECC6">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drawing>
                <wp:anchor distT="0" distB="0" distL="114300" distR="114300" simplePos="0" relativeHeight="251659264" behindDoc="0" locked="0" layoutInCell="1" allowOverlap="1">
                  <wp:simplePos x="0" y="0"/>
                  <wp:positionH relativeFrom="column">
                    <wp:posOffset>0</wp:posOffset>
                  </wp:positionH>
                  <wp:positionV relativeFrom="paragraph">
                    <wp:posOffset>200025</wp:posOffset>
                  </wp:positionV>
                  <wp:extent cx="47625" cy="19050"/>
                  <wp:effectExtent l="0" t="0" r="0" b="0"/>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noChangeArrowheads="1"/>
                          </pic:cNvPicPr>
                        </pic:nvPicPr>
                        <pic:blipFill>
                          <a:blip r:embed="rId6" cstate="print">
                            <a:clrChange>
                              <a:clrFrom>
                                <a:srgbClr val="FFFFFF"/>
                              </a:clrFrom>
                              <a:clrTo>
                                <a:srgbClr val="FFFFFF">
                                  <a:alpha val="0"/>
                                </a:srgbClr>
                              </a:clrTo>
                            </a:clrChange>
                          </a:blip>
                          <a:srcRect/>
                          <a:stretch>
                            <a:fillRect/>
                          </a:stretch>
                        </pic:blipFill>
                        <pic:spPr>
                          <a:xfrm>
                            <a:off x="0" y="0"/>
                            <a:ext cx="47625" cy="19050"/>
                          </a:xfrm>
                          <a:prstGeom prst="rect">
                            <a:avLst/>
                          </a:prstGeom>
                          <a:noFill/>
                          <a:ln w="9525">
                            <a:noFill/>
                            <a:miter lim="800000"/>
                            <a:headEnd/>
                            <a:tailEnd/>
                          </a:ln>
                        </pic:spPr>
                      </pic:pic>
                    </a:graphicData>
                  </a:graphic>
                </wp:anchor>
              </w:drawing>
            </w: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50DC110">
            <w:pPr>
              <w:widowControl/>
              <w:spacing w:line="340" w:lineRule="exact"/>
              <w:rPr>
                <w:rFonts w:hint="eastAsia" w:ascii="仿宋_GB2312" w:hAnsi="宋体" w:eastAsia="仿宋_GB2312" w:cs="宋体"/>
                <w:color w:val="000000"/>
                <w:kern w:val="0"/>
                <w:sz w:val="28"/>
                <w:szCs w:val="28"/>
              </w:rPr>
            </w:pPr>
          </w:p>
        </w:tc>
      </w:tr>
      <w:tr w14:paraId="70DF3A21">
        <w:trPr>
          <w:trHeight w:val="528"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90F5FC">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
                <w:bCs/>
                <w:color w:val="000000"/>
                <w:kern w:val="0"/>
                <w:sz w:val="28"/>
                <w:szCs w:val="28"/>
              </w:rPr>
              <w:t>7．</w:t>
            </w:r>
            <w:r>
              <w:rPr>
                <w:rFonts w:hint="eastAsia" w:ascii="仿宋_GB2312" w:hAnsi="宋体" w:eastAsia="仿宋_GB2312" w:cs="宋体"/>
                <w:b/>
                <w:color w:val="000000"/>
                <w:sz w:val="28"/>
                <w:szCs w:val="28"/>
              </w:rPr>
              <w:t>投诉率</w:t>
            </w:r>
            <w:r>
              <w:rPr>
                <w:rFonts w:hint="eastAsia" w:ascii="仿宋_GB2312" w:hAnsi="宋体" w:eastAsia="仿宋_GB2312" w:cs="宋体"/>
                <w:b/>
                <w:bCs/>
                <w:color w:val="000000"/>
                <w:kern w:val="0"/>
                <w:sz w:val="28"/>
                <w:szCs w:val="28"/>
              </w:rPr>
              <w:t>（15%）</w:t>
            </w:r>
          </w:p>
        </w:tc>
      </w:tr>
      <w:tr w14:paraId="0A135E68">
        <w:trPr>
          <w:trHeight w:val="505"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0846B4">
            <w:pPr>
              <w:widowControl/>
              <w:spacing w:line="340" w:lineRule="exact"/>
              <w:rPr>
                <w:rFonts w:hint="eastAsia" w:ascii="仿宋_GB2312" w:hAnsi="宋体" w:eastAsia="仿宋_GB2312" w:cs="宋体"/>
                <w:b/>
                <w:color w:val="000000"/>
                <w:sz w:val="28"/>
                <w:szCs w:val="28"/>
              </w:rPr>
            </w:pPr>
            <w:r>
              <w:rPr>
                <w:rFonts w:hint="eastAsia" w:ascii="仿宋_GB2312" w:hAnsi="宋体" w:eastAsia="仿宋_GB2312" w:cs="宋体"/>
                <w:b/>
                <w:color w:val="000000"/>
                <w:sz w:val="28"/>
                <w:szCs w:val="28"/>
              </w:rPr>
              <w:t>（1）亿元保费投诉量（7.5%）</w:t>
            </w:r>
          </w:p>
        </w:tc>
      </w:tr>
      <w:tr w14:paraId="7DE8CAA1">
        <w:trPr>
          <w:trHeight w:val="284"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6FE963B2">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FAE3661">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3259FADC">
        <w:trPr>
          <w:trHeight w:val="33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4DF2787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0A031F24">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评价保险公司：反映消费者投诉发生情况。</w:t>
            </w:r>
          </w:p>
        </w:tc>
      </w:tr>
      <w:tr w14:paraId="7C8F84C9">
        <w:trPr>
          <w:trHeight w:val="264"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047CFA83">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032AAFC7">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亿元保费投诉量=有效投诉件数总量/统计期内保费收入总量（单位：件/亿元）</w:t>
            </w:r>
          </w:p>
        </w:tc>
      </w:tr>
      <w:tr w14:paraId="6633B50E">
        <w:trPr>
          <w:trHeight w:val="316"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0F538AB">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A25E681">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保监消保〔2013〕162号文</w:t>
            </w:r>
          </w:p>
        </w:tc>
      </w:tr>
      <w:tr w14:paraId="7F3AFC6A">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54E629F">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AB30EA2">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保险监管机构。</w:t>
            </w:r>
          </w:p>
        </w:tc>
      </w:tr>
      <w:tr w14:paraId="56D46D3D">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F935C29">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872012A">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该指标考核保险公司消费者投诉比例。</w:t>
            </w:r>
          </w:p>
        </w:tc>
      </w:tr>
      <w:tr w14:paraId="15F90427">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81A2E51">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381A2D72">
            <w:pPr>
              <w:widowControl/>
              <w:spacing w:line="340" w:lineRule="exact"/>
              <w:rPr>
                <w:rFonts w:hint="eastAsia" w:ascii="仿宋_GB2312" w:hAnsi="宋体" w:eastAsia="仿宋_GB2312" w:cs="宋体"/>
                <w:bCs/>
                <w:color w:val="000000"/>
                <w:kern w:val="0"/>
                <w:sz w:val="28"/>
                <w:szCs w:val="28"/>
              </w:rPr>
            </w:pPr>
          </w:p>
        </w:tc>
      </w:tr>
      <w:tr w14:paraId="5E216694">
        <w:trPr>
          <w:trHeight w:val="300"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905140">
            <w:pPr>
              <w:widowControl/>
              <w:spacing w:line="340" w:lineRule="exact"/>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(2)千张保单投诉量（7.5%）</w:t>
            </w:r>
          </w:p>
        </w:tc>
      </w:tr>
      <w:tr w14:paraId="09B908EC">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195E076B">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40A2AA2">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1CF376C9">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7B5D19F0">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评价对象</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5EDD863C">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评价保险公司：反映消费者投诉发生情况。</w:t>
            </w:r>
          </w:p>
        </w:tc>
      </w:tr>
      <w:tr w14:paraId="6B94513D">
        <w:trPr>
          <w:trHeight w:val="206"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79986E8C">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计算公式</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64141507">
            <w:pPr>
              <w:autoSpaceDE w:val="0"/>
              <w:autoSpaceDN w:val="0"/>
              <w:adjustRightInd w:val="0"/>
              <w:snapToGrid w:val="0"/>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千张保单投诉量=有效投诉件数总量/期末有效保单总量*1000（单位：件/千张）</w:t>
            </w:r>
          </w:p>
        </w:tc>
      </w:tr>
      <w:tr w14:paraId="43F3CB84">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09933233">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计算口径</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1A83EE45">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保监消保〔2013〕162号文</w:t>
            </w:r>
          </w:p>
        </w:tc>
      </w:tr>
      <w:tr w14:paraId="4548D501">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40FF8CA">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数据来源</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59AA4371">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保险监管机构。</w:t>
            </w:r>
          </w:p>
        </w:tc>
      </w:tr>
      <w:tr w14:paraId="41B964C1">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32CC180D">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指标说明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39265A7C">
            <w:pPr>
              <w:widowControl/>
              <w:spacing w:line="340" w:lineRule="exac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该指标考核保险公司消费者投诉比例。</w:t>
            </w:r>
          </w:p>
        </w:tc>
      </w:tr>
      <w:tr w14:paraId="1EE15C74">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035D9B6F">
            <w:pPr>
              <w:widowControl/>
              <w:spacing w:line="340" w:lineRule="exact"/>
              <w:jc w:val="center"/>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特别说明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6993678">
            <w:pPr>
              <w:widowControl/>
              <w:spacing w:line="340" w:lineRule="exact"/>
              <w:rPr>
                <w:rFonts w:hint="eastAsia" w:ascii="仿宋_GB2312" w:hAnsi="宋体" w:eastAsia="仿宋_GB2312" w:cs="宋体"/>
                <w:bCs/>
                <w:color w:val="000000"/>
                <w:kern w:val="0"/>
                <w:sz w:val="28"/>
                <w:szCs w:val="28"/>
              </w:rPr>
            </w:pPr>
          </w:p>
        </w:tc>
      </w:tr>
      <w:tr w14:paraId="538ED634">
        <w:trPr>
          <w:trHeight w:val="300" w:hRule="atLeast"/>
        </w:trPr>
        <w:tc>
          <w:tcPr>
            <w:tcW w:w="9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C87907">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
                <w:bCs/>
                <w:color w:val="000000"/>
                <w:kern w:val="0"/>
                <w:sz w:val="28"/>
                <w:szCs w:val="28"/>
              </w:rPr>
              <w:t>8.投诉件办理及时率（10%）</w:t>
            </w:r>
          </w:p>
        </w:tc>
      </w:tr>
      <w:tr w14:paraId="6F3AD8AB">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53F3ABA3">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名    称</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3976897F">
            <w:pPr>
              <w:widowControl/>
              <w:spacing w:line="340" w:lineRule="exact"/>
              <w:jc w:val="center"/>
              <w:rPr>
                <w:rFonts w:hint="eastAsia"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定    义</w:t>
            </w:r>
          </w:p>
        </w:tc>
      </w:tr>
      <w:tr w14:paraId="5FB09E9F">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11239A1C">
            <w:pPr>
              <w:widowControl/>
              <w:spacing w:line="340" w:lineRule="exact"/>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评价对象</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175D33A1">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评价保险公司：反映消费者投诉办理情况。</w:t>
            </w:r>
          </w:p>
        </w:tc>
      </w:tr>
      <w:tr w14:paraId="51F59437">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7564C71D">
            <w:pPr>
              <w:widowControl/>
              <w:spacing w:line="340" w:lineRule="exact"/>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计算公式</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458EF5D9">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bCs/>
                <w:color w:val="000000"/>
                <w:kern w:val="0"/>
                <w:sz w:val="28"/>
                <w:szCs w:val="28"/>
              </w:rPr>
              <w:t>投诉件办理及时率=</w:t>
            </w:r>
            <w:r>
              <w:rPr>
                <w:rFonts w:hint="eastAsia" w:ascii="仿宋_GB2312" w:hAnsi="宋体" w:eastAsia="仿宋_GB2312" w:cs="宋体"/>
                <w:color w:val="000000"/>
                <w:kern w:val="0"/>
                <w:sz w:val="28"/>
                <w:szCs w:val="28"/>
              </w:rPr>
              <w:t>按时处理并反馈的有效投诉件数量/收到的监管机构转办有效投诉件总量×100%</w:t>
            </w:r>
          </w:p>
        </w:tc>
      </w:tr>
      <w:tr w14:paraId="7124E4A2">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4D5B9FBC">
            <w:pPr>
              <w:widowControl/>
              <w:spacing w:line="340" w:lineRule="exact"/>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计算口径</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4121B553">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sz w:val="28"/>
                <w:szCs w:val="28"/>
              </w:rPr>
              <w:t>保监消保</w:t>
            </w:r>
            <w:r>
              <w:rPr>
                <w:rFonts w:hint="eastAsia" w:ascii="仿宋_GB2312" w:hAnsi="宋体" w:eastAsia="仿宋_GB2312" w:cs="宋体"/>
                <w:bCs/>
                <w:color w:val="000000"/>
                <w:kern w:val="0"/>
                <w:sz w:val="28"/>
                <w:szCs w:val="28"/>
              </w:rPr>
              <w:t>〔2013〕</w:t>
            </w:r>
            <w:r>
              <w:rPr>
                <w:rFonts w:hint="eastAsia" w:ascii="仿宋_GB2312" w:hAnsi="宋体" w:eastAsia="仿宋_GB2312" w:cs="宋体"/>
                <w:color w:val="000000"/>
                <w:sz w:val="28"/>
                <w:szCs w:val="28"/>
              </w:rPr>
              <w:t>162号文</w:t>
            </w:r>
          </w:p>
        </w:tc>
      </w:tr>
      <w:tr w14:paraId="638AEA77">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4F2856C4">
            <w:pPr>
              <w:widowControl/>
              <w:spacing w:line="340" w:lineRule="exact"/>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数据来源</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7A86CDF5">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保险监管机构。</w:t>
            </w:r>
          </w:p>
        </w:tc>
      </w:tr>
      <w:tr w14:paraId="22E56772">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DABD548">
            <w:pPr>
              <w:widowControl/>
              <w:spacing w:line="340" w:lineRule="exact"/>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指标说明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5E678540">
            <w:pPr>
              <w:widowControl/>
              <w:spacing w:line="34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该指标考核保险公司消费者投诉处理及时率。</w:t>
            </w:r>
          </w:p>
        </w:tc>
      </w:tr>
      <w:tr w14:paraId="34881D0B">
        <w:trPr>
          <w:trHeight w:val="300" w:hRule="atLeast"/>
        </w:trPr>
        <w:tc>
          <w:tcPr>
            <w:tcW w:w="2011" w:type="dxa"/>
            <w:tcBorders>
              <w:top w:val="single" w:color="auto" w:sz="4" w:space="0"/>
              <w:left w:val="single" w:color="auto" w:sz="4" w:space="0"/>
              <w:bottom w:val="single" w:color="auto" w:sz="4" w:space="0"/>
              <w:right w:val="single" w:color="auto" w:sz="4" w:space="0"/>
            </w:tcBorders>
            <w:shd w:val="clear" w:color="auto" w:fill="auto"/>
            <w:vAlign w:val="center"/>
          </w:tcPr>
          <w:p w14:paraId="2C479AF0">
            <w:pPr>
              <w:widowControl/>
              <w:spacing w:line="340" w:lineRule="exact"/>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特别说明</w:t>
            </w:r>
          </w:p>
        </w:tc>
        <w:tc>
          <w:tcPr>
            <w:tcW w:w="7311" w:type="dxa"/>
            <w:gridSpan w:val="2"/>
            <w:tcBorders>
              <w:top w:val="single" w:color="auto" w:sz="4" w:space="0"/>
              <w:left w:val="nil"/>
              <w:bottom w:val="single" w:color="auto" w:sz="4" w:space="0"/>
              <w:right w:val="single" w:color="auto" w:sz="4" w:space="0"/>
            </w:tcBorders>
            <w:shd w:val="clear" w:color="auto" w:fill="auto"/>
            <w:vAlign w:val="center"/>
          </w:tcPr>
          <w:p w14:paraId="2CC6F0C9">
            <w:pPr>
              <w:widowControl/>
              <w:spacing w:line="340" w:lineRule="exact"/>
              <w:rPr>
                <w:rFonts w:hint="eastAsia" w:ascii="仿宋_GB2312" w:hAnsi="宋体" w:eastAsia="仿宋_GB2312" w:cs="宋体"/>
                <w:color w:val="000000"/>
                <w:kern w:val="0"/>
                <w:sz w:val="28"/>
                <w:szCs w:val="28"/>
              </w:rPr>
            </w:pPr>
          </w:p>
        </w:tc>
      </w:tr>
    </w:tbl>
    <w:p w14:paraId="047DC01A">
      <w:pPr>
        <w:autoSpaceDE w:val="0"/>
        <w:autoSpaceDN w:val="0"/>
        <w:adjustRightInd w:val="0"/>
        <w:spacing w:line="360" w:lineRule="exact"/>
        <w:jc w:val="left"/>
        <w:rPr>
          <w:rFonts w:ascii="仿宋_GB2312" w:hAnsi="Calibri" w:eastAsia="仿宋_GB2312" w:cs="微软雅黑"/>
          <w:color w:val="070000"/>
          <w:kern w:val="0"/>
          <w:sz w:val="24"/>
        </w:rPr>
      </w:pPr>
      <w:r>
        <w:rPr>
          <w:rFonts w:hint="eastAsia" w:ascii="仿宋_GB2312" w:hAnsi="Calibri" w:eastAsia="仿宋_GB2312" w:cs="微软雅黑"/>
          <w:color w:val="070000"/>
          <w:kern w:val="0"/>
          <w:sz w:val="24"/>
        </w:rPr>
        <w:t>备注：</w:t>
      </w:r>
    </w:p>
    <w:p w14:paraId="290F597A">
      <w:pPr>
        <w:autoSpaceDE w:val="0"/>
        <w:autoSpaceDN w:val="0"/>
        <w:adjustRightInd w:val="0"/>
        <w:spacing w:line="360" w:lineRule="exact"/>
        <w:jc w:val="left"/>
        <w:rPr>
          <w:rFonts w:ascii="仿宋_GB2312" w:hAnsi="Calibri" w:eastAsia="仿宋_GB2312" w:cs="微软雅黑"/>
          <w:color w:val="070000"/>
          <w:kern w:val="0"/>
          <w:sz w:val="24"/>
        </w:rPr>
      </w:pPr>
      <w:r>
        <w:rPr>
          <w:rFonts w:hint="eastAsia" w:ascii="仿宋_GB2312" w:hAnsi="Calibri" w:eastAsia="仿宋_GB2312" w:cs="微软雅黑"/>
          <w:color w:val="070000"/>
          <w:kern w:val="0"/>
          <w:sz w:val="24"/>
        </w:rPr>
        <w:t>1、指标中涉及天数均以自然日计算（个别指标以特别标明为准），且最小单位时间为“天”。</w:t>
      </w:r>
    </w:p>
    <w:p w14:paraId="44A69989">
      <w:pPr>
        <w:autoSpaceDE w:val="0"/>
        <w:autoSpaceDN w:val="0"/>
        <w:adjustRightInd w:val="0"/>
        <w:spacing w:line="360" w:lineRule="exact"/>
        <w:jc w:val="left"/>
        <w:rPr>
          <w:rFonts w:hint="eastAsia" w:ascii="仿宋_GB2312" w:hAnsi="Calibri" w:eastAsia="仿宋_GB2312" w:cs="微软雅黑"/>
          <w:color w:val="070000"/>
          <w:kern w:val="0"/>
          <w:sz w:val="24"/>
        </w:rPr>
      </w:pPr>
      <w:r>
        <w:rPr>
          <w:rFonts w:hint="eastAsia" w:ascii="仿宋_GB2312" w:hAnsi="Calibri" w:eastAsia="仿宋_GB2312" w:cs="微软雅黑"/>
          <w:color w:val="070000"/>
          <w:kern w:val="0"/>
          <w:sz w:val="24"/>
        </w:rPr>
        <w:t>2、指标中涉及的日期计算方式均为T+1天，其中T=终期-起期。</w:t>
      </w:r>
      <w:bookmarkStart w:id="0" w:name="_GoBack"/>
      <w:bookmarkEnd w:id="0"/>
    </w:p>
    <w:sectPr>
      <w:footerReference r:id="rId3" w:type="default"/>
      <w:footerReference r:id="rId4" w:type="even"/>
      <w:pgSz w:w="11906" w:h="16838"/>
      <w:pgMar w:top="1985" w:right="1701" w:bottom="1418" w:left="1701" w:header="851" w:footer="992" w:gutter="0"/>
      <w:pgNumType w:fmt="numberInDash"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黑体-简 中等">
    <w:panose1 w:val="02000000000000000000"/>
    <w:charset w:val="86"/>
    <w:family w:val="auto"/>
    <w:pitch w:val="default"/>
    <w:sig w:usb0="8000002F" w:usb1="0800004A" w:usb2="00000000" w:usb3="00000000" w:csb0="203E0000" w:csb1="00000000"/>
  </w:font>
  <w:font w:name="仿宋_GB2312">
    <w:panose1 w:val="02010609030101010101"/>
    <w:charset w:val="86"/>
    <w:family w:val="auto"/>
    <w:pitch w:val="default"/>
    <w:sig w:usb0="00000001" w:usb1="080E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1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Verdana">
    <w:panose1 w:val="020B0804030504040204"/>
    <w:charset w:val="00"/>
    <w:family w:val="swiss"/>
    <w:pitch w:val="default"/>
    <w:sig w:usb0="A10006FF" w:usb1="4000205B" w:usb2="00000010" w:usb3="00000000" w:csb0="2000019F" w:csb1="00000000"/>
  </w:font>
  <w:font w:name="长城小标宋体">
    <w:altName w:val="汉仪书宋二KW"/>
    <w:panose1 w:val="02010609010101010101"/>
    <w:charset w:val="86"/>
    <w:family w:val="modern"/>
    <w:pitch w:val="default"/>
    <w:sig w:usb0="00000000" w:usb1="00000000" w:usb2="0000001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133344"/>
      <w:docPartObj>
        <w:docPartGallery w:val="autotext"/>
      </w:docPartObj>
    </w:sdtPr>
    <w:sdtEndPr>
      <w:rPr>
        <w:rFonts w:asciiTheme="minorEastAsia" w:hAnsiTheme="minorEastAsia" w:eastAsiaTheme="minorEastAsia"/>
        <w:sz w:val="28"/>
      </w:rPr>
    </w:sdtEndPr>
    <w:sdtContent>
      <w:p w14:paraId="7755595E">
        <w:pPr>
          <w:pStyle w:val="8"/>
          <w:jc w:val="right"/>
          <w:rPr>
            <w:rFonts w:asciiTheme="minorEastAsia" w:hAnsiTheme="minorEastAsia" w:eastAsiaTheme="minorEastAsia"/>
            <w:sz w:val="28"/>
          </w:rPr>
        </w:pPr>
        <w:r>
          <w:rPr>
            <w:rFonts w:asciiTheme="minorEastAsia" w:hAnsiTheme="minorEastAsia" w:eastAsiaTheme="minorEastAsia"/>
            <w:sz w:val="28"/>
          </w:rPr>
          <w:fldChar w:fldCharType="begin"/>
        </w:r>
        <w:r>
          <w:rPr>
            <w:rFonts w:asciiTheme="minorEastAsia" w:hAnsiTheme="minorEastAsia" w:eastAsiaTheme="minorEastAsia"/>
            <w:sz w:val="28"/>
          </w:rPr>
          <w:instrText xml:space="preserve"> PAGE   \* MERGEFORMAT </w:instrText>
        </w:r>
        <w:r>
          <w:rPr>
            <w:rFonts w:asciiTheme="minorEastAsia" w:hAnsiTheme="minorEastAsia" w:eastAsiaTheme="minorEastAsia"/>
            <w:sz w:val="28"/>
          </w:rPr>
          <w:fldChar w:fldCharType="separate"/>
        </w:r>
        <w:r>
          <w:rPr>
            <w:rFonts w:asciiTheme="minorEastAsia" w:hAnsiTheme="minorEastAsia" w:eastAsiaTheme="minorEastAsia"/>
            <w:sz w:val="28"/>
            <w:lang w:val="zh-CN"/>
          </w:rPr>
          <w:t>-</w:t>
        </w:r>
        <w:r>
          <w:rPr>
            <w:rFonts w:asciiTheme="minorEastAsia" w:hAnsiTheme="minorEastAsia" w:eastAsiaTheme="minorEastAsia"/>
            <w:sz w:val="28"/>
          </w:rPr>
          <w:t xml:space="preserve"> 3 -</w:t>
        </w:r>
        <w:r>
          <w:rPr>
            <w:rFonts w:asciiTheme="minorEastAsia" w:hAnsiTheme="minorEastAsia" w:eastAsiaTheme="minorEastAsia"/>
            <w:sz w:val="28"/>
          </w:rPr>
          <w:fldChar w:fldCharType="end"/>
        </w:r>
      </w:p>
    </w:sdtContent>
  </w:sdt>
  <w:p w14:paraId="0F0EF223">
    <w:pPr>
      <w:pStyle w:val="8"/>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rPr>
      <w:id w:val="28133345"/>
      <w:docPartObj>
        <w:docPartGallery w:val="autotext"/>
      </w:docPartObj>
    </w:sdtPr>
    <w:sdtEndPr>
      <w:rPr>
        <w:rFonts w:asciiTheme="minorEastAsia" w:hAnsiTheme="minorEastAsia" w:eastAsiaTheme="minorEastAsia"/>
        <w:sz w:val="28"/>
      </w:rPr>
    </w:sdtEndPr>
    <w:sdtContent>
      <w:p w14:paraId="03DF786E">
        <w:pPr>
          <w:pStyle w:val="8"/>
          <w:rPr>
            <w:rFonts w:asciiTheme="minorEastAsia" w:hAnsiTheme="minorEastAsia" w:eastAsiaTheme="minorEastAsia"/>
            <w:sz w:val="28"/>
          </w:rPr>
        </w:pPr>
        <w:r>
          <w:rPr>
            <w:rFonts w:asciiTheme="minorEastAsia" w:hAnsiTheme="minorEastAsia" w:eastAsiaTheme="minorEastAsia"/>
            <w:sz w:val="28"/>
          </w:rPr>
          <w:fldChar w:fldCharType="begin"/>
        </w:r>
        <w:r>
          <w:rPr>
            <w:rFonts w:asciiTheme="minorEastAsia" w:hAnsiTheme="minorEastAsia" w:eastAsiaTheme="minorEastAsia"/>
            <w:sz w:val="28"/>
          </w:rPr>
          <w:instrText xml:space="preserve"> PAGE   \* MERGEFORMAT </w:instrText>
        </w:r>
        <w:r>
          <w:rPr>
            <w:rFonts w:asciiTheme="minorEastAsia" w:hAnsiTheme="minorEastAsia" w:eastAsiaTheme="minorEastAsia"/>
            <w:sz w:val="28"/>
          </w:rPr>
          <w:fldChar w:fldCharType="separate"/>
        </w:r>
        <w:r>
          <w:rPr>
            <w:rFonts w:asciiTheme="minorEastAsia" w:hAnsiTheme="minorEastAsia" w:eastAsiaTheme="minorEastAsia"/>
            <w:sz w:val="28"/>
            <w:lang w:val="zh-CN"/>
          </w:rPr>
          <w:t>-</w:t>
        </w:r>
        <w:r>
          <w:rPr>
            <w:rFonts w:asciiTheme="minorEastAsia" w:hAnsiTheme="minorEastAsia" w:eastAsiaTheme="minorEastAsia"/>
            <w:sz w:val="28"/>
          </w:rPr>
          <w:t xml:space="preserve"> 4 -</w:t>
        </w:r>
        <w:r>
          <w:rPr>
            <w:rFonts w:asciiTheme="minorEastAsia" w:hAnsiTheme="minorEastAsia" w:eastAsiaTheme="minorEastAsia"/>
            <w:sz w:val="28"/>
          </w:rPr>
          <w:fldChar w:fldCharType="end"/>
        </w:r>
      </w:p>
    </w:sdtContent>
  </w:sdt>
  <w:p w14:paraId="45CB9678">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D74E5A"/>
    <w:rsid w:val="00000DCB"/>
    <w:rsid w:val="00001365"/>
    <w:rsid w:val="00001C4B"/>
    <w:rsid w:val="000031E3"/>
    <w:rsid w:val="00006D53"/>
    <w:rsid w:val="000078B6"/>
    <w:rsid w:val="00010A3C"/>
    <w:rsid w:val="00013478"/>
    <w:rsid w:val="00023DB1"/>
    <w:rsid w:val="000245F5"/>
    <w:rsid w:val="00025852"/>
    <w:rsid w:val="00025C7F"/>
    <w:rsid w:val="00030449"/>
    <w:rsid w:val="000314A1"/>
    <w:rsid w:val="000319A1"/>
    <w:rsid w:val="000322EC"/>
    <w:rsid w:val="0003272E"/>
    <w:rsid w:val="00034A99"/>
    <w:rsid w:val="000364AC"/>
    <w:rsid w:val="00040382"/>
    <w:rsid w:val="000425E7"/>
    <w:rsid w:val="0004435A"/>
    <w:rsid w:val="00044B27"/>
    <w:rsid w:val="00045333"/>
    <w:rsid w:val="0005624F"/>
    <w:rsid w:val="0006162A"/>
    <w:rsid w:val="00062E09"/>
    <w:rsid w:val="00065249"/>
    <w:rsid w:val="00066DBD"/>
    <w:rsid w:val="000678B9"/>
    <w:rsid w:val="0007226D"/>
    <w:rsid w:val="00072B72"/>
    <w:rsid w:val="00073B34"/>
    <w:rsid w:val="00087F42"/>
    <w:rsid w:val="00090B81"/>
    <w:rsid w:val="00093B2A"/>
    <w:rsid w:val="00095117"/>
    <w:rsid w:val="00097A1C"/>
    <w:rsid w:val="000A0C17"/>
    <w:rsid w:val="000A2CDD"/>
    <w:rsid w:val="000A39EB"/>
    <w:rsid w:val="000A3CED"/>
    <w:rsid w:val="000A6598"/>
    <w:rsid w:val="000A68B5"/>
    <w:rsid w:val="000B2047"/>
    <w:rsid w:val="000B56F4"/>
    <w:rsid w:val="000C4947"/>
    <w:rsid w:val="000C5748"/>
    <w:rsid w:val="000D0F10"/>
    <w:rsid w:val="000D28D4"/>
    <w:rsid w:val="000D46D5"/>
    <w:rsid w:val="000D48A6"/>
    <w:rsid w:val="000D55DA"/>
    <w:rsid w:val="000D6C4E"/>
    <w:rsid w:val="000E0D0D"/>
    <w:rsid w:val="000E320B"/>
    <w:rsid w:val="000E3BE0"/>
    <w:rsid w:val="000E4152"/>
    <w:rsid w:val="000E72F9"/>
    <w:rsid w:val="000F3190"/>
    <w:rsid w:val="000F361E"/>
    <w:rsid w:val="000F3FE3"/>
    <w:rsid w:val="000F4F8C"/>
    <w:rsid w:val="00101369"/>
    <w:rsid w:val="00105DC1"/>
    <w:rsid w:val="00105F58"/>
    <w:rsid w:val="00106B62"/>
    <w:rsid w:val="00106F5B"/>
    <w:rsid w:val="001073BB"/>
    <w:rsid w:val="00107DF7"/>
    <w:rsid w:val="0011088E"/>
    <w:rsid w:val="0011167D"/>
    <w:rsid w:val="0011235C"/>
    <w:rsid w:val="001163B8"/>
    <w:rsid w:val="00117B0A"/>
    <w:rsid w:val="001207DB"/>
    <w:rsid w:val="001215A1"/>
    <w:rsid w:val="00123B81"/>
    <w:rsid w:val="0012525B"/>
    <w:rsid w:val="001254B9"/>
    <w:rsid w:val="00132A93"/>
    <w:rsid w:val="00133832"/>
    <w:rsid w:val="00133CC3"/>
    <w:rsid w:val="00134630"/>
    <w:rsid w:val="00135097"/>
    <w:rsid w:val="00135693"/>
    <w:rsid w:val="001358D6"/>
    <w:rsid w:val="00135FC2"/>
    <w:rsid w:val="00137786"/>
    <w:rsid w:val="0014109F"/>
    <w:rsid w:val="00142CF3"/>
    <w:rsid w:val="001461ED"/>
    <w:rsid w:val="00146D41"/>
    <w:rsid w:val="00150AA1"/>
    <w:rsid w:val="00150C3C"/>
    <w:rsid w:val="00150C6A"/>
    <w:rsid w:val="00150F1E"/>
    <w:rsid w:val="00151D10"/>
    <w:rsid w:val="00156E52"/>
    <w:rsid w:val="00157AD3"/>
    <w:rsid w:val="00157D7B"/>
    <w:rsid w:val="001646F8"/>
    <w:rsid w:val="001666EA"/>
    <w:rsid w:val="00170198"/>
    <w:rsid w:val="001707DE"/>
    <w:rsid w:val="001713CD"/>
    <w:rsid w:val="0017256A"/>
    <w:rsid w:val="00172AEF"/>
    <w:rsid w:val="00174F7F"/>
    <w:rsid w:val="00180CE2"/>
    <w:rsid w:val="001834A0"/>
    <w:rsid w:val="00187949"/>
    <w:rsid w:val="00194F9D"/>
    <w:rsid w:val="00195389"/>
    <w:rsid w:val="00196664"/>
    <w:rsid w:val="00197F6A"/>
    <w:rsid w:val="001A1375"/>
    <w:rsid w:val="001A20CE"/>
    <w:rsid w:val="001A4B42"/>
    <w:rsid w:val="001A69DB"/>
    <w:rsid w:val="001A6E92"/>
    <w:rsid w:val="001A7799"/>
    <w:rsid w:val="001A782D"/>
    <w:rsid w:val="001B0F91"/>
    <w:rsid w:val="001B15F9"/>
    <w:rsid w:val="001B1ADA"/>
    <w:rsid w:val="001B6AFB"/>
    <w:rsid w:val="001B6E2B"/>
    <w:rsid w:val="001B6F6D"/>
    <w:rsid w:val="001C05BF"/>
    <w:rsid w:val="001C46F3"/>
    <w:rsid w:val="001C5700"/>
    <w:rsid w:val="001D0BC0"/>
    <w:rsid w:val="001D2B04"/>
    <w:rsid w:val="001D2BB6"/>
    <w:rsid w:val="001D3981"/>
    <w:rsid w:val="001D515A"/>
    <w:rsid w:val="001D6691"/>
    <w:rsid w:val="001D761B"/>
    <w:rsid w:val="001E1AEF"/>
    <w:rsid w:val="001E46FC"/>
    <w:rsid w:val="001E5CE0"/>
    <w:rsid w:val="001E7423"/>
    <w:rsid w:val="001E7FDD"/>
    <w:rsid w:val="001F02E5"/>
    <w:rsid w:val="001F0B0B"/>
    <w:rsid w:val="001F3649"/>
    <w:rsid w:val="001F5A8B"/>
    <w:rsid w:val="001F6585"/>
    <w:rsid w:val="001F6C9D"/>
    <w:rsid w:val="001F6CEF"/>
    <w:rsid w:val="001F7106"/>
    <w:rsid w:val="001F760F"/>
    <w:rsid w:val="0020050C"/>
    <w:rsid w:val="0020173C"/>
    <w:rsid w:val="00202A62"/>
    <w:rsid w:val="0020435E"/>
    <w:rsid w:val="002069CB"/>
    <w:rsid w:val="00210E1B"/>
    <w:rsid w:val="0021103B"/>
    <w:rsid w:val="0021574E"/>
    <w:rsid w:val="00216081"/>
    <w:rsid w:val="00216605"/>
    <w:rsid w:val="00217F6A"/>
    <w:rsid w:val="00220B1E"/>
    <w:rsid w:val="002247AB"/>
    <w:rsid w:val="00224EB8"/>
    <w:rsid w:val="00227687"/>
    <w:rsid w:val="002348A7"/>
    <w:rsid w:val="00234C25"/>
    <w:rsid w:val="00235454"/>
    <w:rsid w:val="00236930"/>
    <w:rsid w:val="00241BB9"/>
    <w:rsid w:val="002464D2"/>
    <w:rsid w:val="00246516"/>
    <w:rsid w:val="00252C13"/>
    <w:rsid w:val="00252DD3"/>
    <w:rsid w:val="00255B86"/>
    <w:rsid w:val="002561CC"/>
    <w:rsid w:val="00257C51"/>
    <w:rsid w:val="00262245"/>
    <w:rsid w:val="00267408"/>
    <w:rsid w:val="00267B80"/>
    <w:rsid w:val="00270BB1"/>
    <w:rsid w:val="00271A9A"/>
    <w:rsid w:val="002747E2"/>
    <w:rsid w:val="00274B3C"/>
    <w:rsid w:val="00275F9E"/>
    <w:rsid w:val="00280FC0"/>
    <w:rsid w:val="00290CD6"/>
    <w:rsid w:val="002921E3"/>
    <w:rsid w:val="00293D05"/>
    <w:rsid w:val="00297B2B"/>
    <w:rsid w:val="002A6EC3"/>
    <w:rsid w:val="002B1381"/>
    <w:rsid w:val="002B5EE0"/>
    <w:rsid w:val="002B62B4"/>
    <w:rsid w:val="002B7130"/>
    <w:rsid w:val="002C19E4"/>
    <w:rsid w:val="002C4AE7"/>
    <w:rsid w:val="002C6A56"/>
    <w:rsid w:val="002D11A0"/>
    <w:rsid w:val="002D1E85"/>
    <w:rsid w:val="002D5540"/>
    <w:rsid w:val="002E080A"/>
    <w:rsid w:val="002E26F0"/>
    <w:rsid w:val="002E45DA"/>
    <w:rsid w:val="002E58E0"/>
    <w:rsid w:val="002E7E2A"/>
    <w:rsid w:val="002F027B"/>
    <w:rsid w:val="002F1446"/>
    <w:rsid w:val="002F2EBE"/>
    <w:rsid w:val="002F5C2A"/>
    <w:rsid w:val="00300E73"/>
    <w:rsid w:val="00301CE5"/>
    <w:rsid w:val="00303536"/>
    <w:rsid w:val="003057A4"/>
    <w:rsid w:val="00305E3D"/>
    <w:rsid w:val="00310B79"/>
    <w:rsid w:val="00311D2E"/>
    <w:rsid w:val="003125D7"/>
    <w:rsid w:val="0032282D"/>
    <w:rsid w:val="00323B47"/>
    <w:rsid w:val="0032600F"/>
    <w:rsid w:val="00330252"/>
    <w:rsid w:val="003307C0"/>
    <w:rsid w:val="00333FC3"/>
    <w:rsid w:val="003420ED"/>
    <w:rsid w:val="0034401F"/>
    <w:rsid w:val="00344912"/>
    <w:rsid w:val="003453E4"/>
    <w:rsid w:val="00350C4B"/>
    <w:rsid w:val="00350DB6"/>
    <w:rsid w:val="00352AA8"/>
    <w:rsid w:val="00352D54"/>
    <w:rsid w:val="00353A46"/>
    <w:rsid w:val="003552BE"/>
    <w:rsid w:val="003560C0"/>
    <w:rsid w:val="003572FA"/>
    <w:rsid w:val="00364075"/>
    <w:rsid w:val="00365F97"/>
    <w:rsid w:val="003673DB"/>
    <w:rsid w:val="00367DF8"/>
    <w:rsid w:val="003700AD"/>
    <w:rsid w:val="00373A1F"/>
    <w:rsid w:val="00383E16"/>
    <w:rsid w:val="0038606E"/>
    <w:rsid w:val="0039124B"/>
    <w:rsid w:val="0039542A"/>
    <w:rsid w:val="003973AC"/>
    <w:rsid w:val="003A134F"/>
    <w:rsid w:val="003A21A2"/>
    <w:rsid w:val="003A21FE"/>
    <w:rsid w:val="003A5B44"/>
    <w:rsid w:val="003A5D59"/>
    <w:rsid w:val="003A6622"/>
    <w:rsid w:val="003A73F7"/>
    <w:rsid w:val="003A7440"/>
    <w:rsid w:val="003B0143"/>
    <w:rsid w:val="003B2ADF"/>
    <w:rsid w:val="003B48A8"/>
    <w:rsid w:val="003B79E5"/>
    <w:rsid w:val="003B7CBE"/>
    <w:rsid w:val="003D26D5"/>
    <w:rsid w:val="003D2F76"/>
    <w:rsid w:val="003D5020"/>
    <w:rsid w:val="003D6F63"/>
    <w:rsid w:val="003E4D80"/>
    <w:rsid w:val="003E5654"/>
    <w:rsid w:val="003E7119"/>
    <w:rsid w:val="003E7FB0"/>
    <w:rsid w:val="003F40AD"/>
    <w:rsid w:val="003F51AE"/>
    <w:rsid w:val="003F555E"/>
    <w:rsid w:val="003F57FC"/>
    <w:rsid w:val="003F71D6"/>
    <w:rsid w:val="003F776F"/>
    <w:rsid w:val="0040361F"/>
    <w:rsid w:val="004036D9"/>
    <w:rsid w:val="004043B8"/>
    <w:rsid w:val="004061B2"/>
    <w:rsid w:val="00416082"/>
    <w:rsid w:val="00416258"/>
    <w:rsid w:val="00416715"/>
    <w:rsid w:val="004172A0"/>
    <w:rsid w:val="0042040B"/>
    <w:rsid w:val="0042261C"/>
    <w:rsid w:val="0042462E"/>
    <w:rsid w:val="00425A45"/>
    <w:rsid w:val="0042675A"/>
    <w:rsid w:val="00431B79"/>
    <w:rsid w:val="00432722"/>
    <w:rsid w:val="004339B5"/>
    <w:rsid w:val="00433BF8"/>
    <w:rsid w:val="00437C2B"/>
    <w:rsid w:val="004405A7"/>
    <w:rsid w:val="004435EE"/>
    <w:rsid w:val="00446407"/>
    <w:rsid w:val="00446A78"/>
    <w:rsid w:val="004508D0"/>
    <w:rsid w:val="004512EE"/>
    <w:rsid w:val="00454C81"/>
    <w:rsid w:val="004554D8"/>
    <w:rsid w:val="00456947"/>
    <w:rsid w:val="00456C8C"/>
    <w:rsid w:val="00456F66"/>
    <w:rsid w:val="004574F4"/>
    <w:rsid w:val="00457E8A"/>
    <w:rsid w:val="00462C27"/>
    <w:rsid w:val="0046353E"/>
    <w:rsid w:val="00465000"/>
    <w:rsid w:val="00466807"/>
    <w:rsid w:val="004721BD"/>
    <w:rsid w:val="00472315"/>
    <w:rsid w:val="00475328"/>
    <w:rsid w:val="004756AA"/>
    <w:rsid w:val="00477695"/>
    <w:rsid w:val="004804DA"/>
    <w:rsid w:val="00483471"/>
    <w:rsid w:val="00483B42"/>
    <w:rsid w:val="00486D48"/>
    <w:rsid w:val="004879E1"/>
    <w:rsid w:val="00495260"/>
    <w:rsid w:val="004953E7"/>
    <w:rsid w:val="00495605"/>
    <w:rsid w:val="00496E08"/>
    <w:rsid w:val="004A0806"/>
    <w:rsid w:val="004A13F8"/>
    <w:rsid w:val="004A1BE9"/>
    <w:rsid w:val="004A21DF"/>
    <w:rsid w:val="004A41A1"/>
    <w:rsid w:val="004A4368"/>
    <w:rsid w:val="004A46C0"/>
    <w:rsid w:val="004A70F9"/>
    <w:rsid w:val="004A7185"/>
    <w:rsid w:val="004B4092"/>
    <w:rsid w:val="004B5314"/>
    <w:rsid w:val="004C1745"/>
    <w:rsid w:val="004C7369"/>
    <w:rsid w:val="004D053D"/>
    <w:rsid w:val="004D065B"/>
    <w:rsid w:val="004D0BDF"/>
    <w:rsid w:val="004D0C43"/>
    <w:rsid w:val="004D5A50"/>
    <w:rsid w:val="004D5B9E"/>
    <w:rsid w:val="004D5D67"/>
    <w:rsid w:val="004D674C"/>
    <w:rsid w:val="004E062E"/>
    <w:rsid w:val="004E0A92"/>
    <w:rsid w:val="004E2DDF"/>
    <w:rsid w:val="004F2076"/>
    <w:rsid w:val="004F324F"/>
    <w:rsid w:val="004F3AA2"/>
    <w:rsid w:val="004F45F6"/>
    <w:rsid w:val="004F770D"/>
    <w:rsid w:val="004F787A"/>
    <w:rsid w:val="00500486"/>
    <w:rsid w:val="00501A8A"/>
    <w:rsid w:val="00502710"/>
    <w:rsid w:val="00502C01"/>
    <w:rsid w:val="005037E0"/>
    <w:rsid w:val="00505EF6"/>
    <w:rsid w:val="00507CCF"/>
    <w:rsid w:val="0051166D"/>
    <w:rsid w:val="00513498"/>
    <w:rsid w:val="005154E3"/>
    <w:rsid w:val="00516149"/>
    <w:rsid w:val="00516729"/>
    <w:rsid w:val="00516B47"/>
    <w:rsid w:val="005242C1"/>
    <w:rsid w:val="00524777"/>
    <w:rsid w:val="00525414"/>
    <w:rsid w:val="005264CC"/>
    <w:rsid w:val="00527EE3"/>
    <w:rsid w:val="005317A3"/>
    <w:rsid w:val="00535F79"/>
    <w:rsid w:val="00537837"/>
    <w:rsid w:val="00540495"/>
    <w:rsid w:val="00540D9D"/>
    <w:rsid w:val="00545570"/>
    <w:rsid w:val="005458AE"/>
    <w:rsid w:val="005464FE"/>
    <w:rsid w:val="00547A6B"/>
    <w:rsid w:val="00550788"/>
    <w:rsid w:val="005514AD"/>
    <w:rsid w:val="005522DA"/>
    <w:rsid w:val="00553E20"/>
    <w:rsid w:val="00555776"/>
    <w:rsid w:val="00555B3B"/>
    <w:rsid w:val="0055712E"/>
    <w:rsid w:val="00561AE0"/>
    <w:rsid w:val="0056279E"/>
    <w:rsid w:val="0056300E"/>
    <w:rsid w:val="0056329D"/>
    <w:rsid w:val="00563459"/>
    <w:rsid w:val="00564117"/>
    <w:rsid w:val="00564D82"/>
    <w:rsid w:val="00565482"/>
    <w:rsid w:val="005673A3"/>
    <w:rsid w:val="00573C04"/>
    <w:rsid w:val="00573FC4"/>
    <w:rsid w:val="005829EF"/>
    <w:rsid w:val="00582A45"/>
    <w:rsid w:val="0058341A"/>
    <w:rsid w:val="00584476"/>
    <w:rsid w:val="0058474C"/>
    <w:rsid w:val="00584F58"/>
    <w:rsid w:val="00587CFA"/>
    <w:rsid w:val="00590042"/>
    <w:rsid w:val="00590D78"/>
    <w:rsid w:val="00594036"/>
    <w:rsid w:val="005946A1"/>
    <w:rsid w:val="0059537E"/>
    <w:rsid w:val="00595698"/>
    <w:rsid w:val="00596BE4"/>
    <w:rsid w:val="005A1267"/>
    <w:rsid w:val="005A205C"/>
    <w:rsid w:val="005A2E20"/>
    <w:rsid w:val="005A3106"/>
    <w:rsid w:val="005A6241"/>
    <w:rsid w:val="005B02B2"/>
    <w:rsid w:val="005B238F"/>
    <w:rsid w:val="005B2E0D"/>
    <w:rsid w:val="005B3D10"/>
    <w:rsid w:val="005B5200"/>
    <w:rsid w:val="005B67FE"/>
    <w:rsid w:val="005B701E"/>
    <w:rsid w:val="005C19BA"/>
    <w:rsid w:val="005C3269"/>
    <w:rsid w:val="005C3313"/>
    <w:rsid w:val="005C4A25"/>
    <w:rsid w:val="005C4C89"/>
    <w:rsid w:val="005C5AAF"/>
    <w:rsid w:val="005C7A16"/>
    <w:rsid w:val="005D0B37"/>
    <w:rsid w:val="005D4589"/>
    <w:rsid w:val="005D4616"/>
    <w:rsid w:val="005D6555"/>
    <w:rsid w:val="005E219C"/>
    <w:rsid w:val="005E3100"/>
    <w:rsid w:val="005E529C"/>
    <w:rsid w:val="005E772B"/>
    <w:rsid w:val="005F00A2"/>
    <w:rsid w:val="005F3F84"/>
    <w:rsid w:val="005F5AF9"/>
    <w:rsid w:val="005F7C4E"/>
    <w:rsid w:val="00601B51"/>
    <w:rsid w:val="006022C2"/>
    <w:rsid w:val="006035FB"/>
    <w:rsid w:val="00605BC2"/>
    <w:rsid w:val="00606D65"/>
    <w:rsid w:val="006108C6"/>
    <w:rsid w:val="00611096"/>
    <w:rsid w:val="0061334D"/>
    <w:rsid w:val="006166ED"/>
    <w:rsid w:val="0062122A"/>
    <w:rsid w:val="006241C9"/>
    <w:rsid w:val="00625644"/>
    <w:rsid w:val="00625822"/>
    <w:rsid w:val="00631F43"/>
    <w:rsid w:val="00632728"/>
    <w:rsid w:val="00635E76"/>
    <w:rsid w:val="0063620E"/>
    <w:rsid w:val="00647A6C"/>
    <w:rsid w:val="00647B44"/>
    <w:rsid w:val="00647F12"/>
    <w:rsid w:val="00652427"/>
    <w:rsid w:val="00652679"/>
    <w:rsid w:val="00652901"/>
    <w:rsid w:val="00653A48"/>
    <w:rsid w:val="0065635D"/>
    <w:rsid w:val="006603A1"/>
    <w:rsid w:val="00660C4A"/>
    <w:rsid w:val="00664B89"/>
    <w:rsid w:val="0066578A"/>
    <w:rsid w:val="006734ED"/>
    <w:rsid w:val="00673935"/>
    <w:rsid w:val="006767D3"/>
    <w:rsid w:val="00680ED2"/>
    <w:rsid w:val="00681435"/>
    <w:rsid w:val="006918CC"/>
    <w:rsid w:val="006959B8"/>
    <w:rsid w:val="00696592"/>
    <w:rsid w:val="006966B5"/>
    <w:rsid w:val="0069772D"/>
    <w:rsid w:val="006A0B11"/>
    <w:rsid w:val="006A1630"/>
    <w:rsid w:val="006A39D2"/>
    <w:rsid w:val="006A42AE"/>
    <w:rsid w:val="006A4313"/>
    <w:rsid w:val="006B035B"/>
    <w:rsid w:val="006B0FE7"/>
    <w:rsid w:val="006B1F2B"/>
    <w:rsid w:val="006B611D"/>
    <w:rsid w:val="006C4E8D"/>
    <w:rsid w:val="006C6FD5"/>
    <w:rsid w:val="006D1DC1"/>
    <w:rsid w:val="006E04D3"/>
    <w:rsid w:val="006E0D2E"/>
    <w:rsid w:val="006E2C63"/>
    <w:rsid w:val="006E7122"/>
    <w:rsid w:val="006E71FA"/>
    <w:rsid w:val="006F02EE"/>
    <w:rsid w:val="006F0A8E"/>
    <w:rsid w:val="006F1775"/>
    <w:rsid w:val="006F1F5B"/>
    <w:rsid w:val="006F2D80"/>
    <w:rsid w:val="006F46B1"/>
    <w:rsid w:val="006F739C"/>
    <w:rsid w:val="006F768B"/>
    <w:rsid w:val="006F78F7"/>
    <w:rsid w:val="00700D27"/>
    <w:rsid w:val="00700E90"/>
    <w:rsid w:val="007024D4"/>
    <w:rsid w:val="00703889"/>
    <w:rsid w:val="00706A72"/>
    <w:rsid w:val="00707EE6"/>
    <w:rsid w:val="007211B9"/>
    <w:rsid w:val="007227B1"/>
    <w:rsid w:val="00722B50"/>
    <w:rsid w:val="00725379"/>
    <w:rsid w:val="00731A7B"/>
    <w:rsid w:val="00731DB1"/>
    <w:rsid w:val="00732936"/>
    <w:rsid w:val="007329A6"/>
    <w:rsid w:val="00733376"/>
    <w:rsid w:val="00735686"/>
    <w:rsid w:val="00735E84"/>
    <w:rsid w:val="00740EDA"/>
    <w:rsid w:val="00742ECA"/>
    <w:rsid w:val="00743F17"/>
    <w:rsid w:val="00744346"/>
    <w:rsid w:val="00744BD6"/>
    <w:rsid w:val="00745AF7"/>
    <w:rsid w:val="00747C20"/>
    <w:rsid w:val="00747C44"/>
    <w:rsid w:val="00753D1A"/>
    <w:rsid w:val="00757888"/>
    <w:rsid w:val="00757C2F"/>
    <w:rsid w:val="00762BEE"/>
    <w:rsid w:val="0077068D"/>
    <w:rsid w:val="00774064"/>
    <w:rsid w:val="00777866"/>
    <w:rsid w:val="0077791D"/>
    <w:rsid w:val="00777A5D"/>
    <w:rsid w:val="00781022"/>
    <w:rsid w:val="0078330B"/>
    <w:rsid w:val="007877F1"/>
    <w:rsid w:val="00787CF0"/>
    <w:rsid w:val="00795595"/>
    <w:rsid w:val="007A06AB"/>
    <w:rsid w:val="007A39EF"/>
    <w:rsid w:val="007B3087"/>
    <w:rsid w:val="007B3F6C"/>
    <w:rsid w:val="007B43CA"/>
    <w:rsid w:val="007B4666"/>
    <w:rsid w:val="007B751F"/>
    <w:rsid w:val="007C05BA"/>
    <w:rsid w:val="007C0E23"/>
    <w:rsid w:val="007C1CC5"/>
    <w:rsid w:val="007C2A43"/>
    <w:rsid w:val="007C571B"/>
    <w:rsid w:val="007C5A19"/>
    <w:rsid w:val="007C6265"/>
    <w:rsid w:val="007C70B0"/>
    <w:rsid w:val="007D0DBD"/>
    <w:rsid w:val="007D7BD8"/>
    <w:rsid w:val="007E0EBE"/>
    <w:rsid w:val="007E1FA4"/>
    <w:rsid w:val="007E23CF"/>
    <w:rsid w:val="007E51B3"/>
    <w:rsid w:val="007E59EE"/>
    <w:rsid w:val="007E7CD3"/>
    <w:rsid w:val="008024C0"/>
    <w:rsid w:val="00802B3B"/>
    <w:rsid w:val="00803E8A"/>
    <w:rsid w:val="00805730"/>
    <w:rsid w:val="00806AA2"/>
    <w:rsid w:val="00806AC6"/>
    <w:rsid w:val="00807D7C"/>
    <w:rsid w:val="00810154"/>
    <w:rsid w:val="008102F3"/>
    <w:rsid w:val="00811190"/>
    <w:rsid w:val="00811D63"/>
    <w:rsid w:val="00811DBD"/>
    <w:rsid w:val="0081491B"/>
    <w:rsid w:val="00817DEC"/>
    <w:rsid w:val="0082026C"/>
    <w:rsid w:val="0082051E"/>
    <w:rsid w:val="00823390"/>
    <w:rsid w:val="008246A1"/>
    <w:rsid w:val="00824AF0"/>
    <w:rsid w:val="008304C8"/>
    <w:rsid w:val="00831B21"/>
    <w:rsid w:val="008334F0"/>
    <w:rsid w:val="0083492B"/>
    <w:rsid w:val="00835278"/>
    <w:rsid w:val="0083550B"/>
    <w:rsid w:val="008364EC"/>
    <w:rsid w:val="0084358E"/>
    <w:rsid w:val="008454BB"/>
    <w:rsid w:val="008469D4"/>
    <w:rsid w:val="00847AD8"/>
    <w:rsid w:val="00850BBD"/>
    <w:rsid w:val="0085109D"/>
    <w:rsid w:val="008534F7"/>
    <w:rsid w:val="008550E4"/>
    <w:rsid w:val="00860173"/>
    <w:rsid w:val="008625A9"/>
    <w:rsid w:val="008629C6"/>
    <w:rsid w:val="00862AC2"/>
    <w:rsid w:val="00866E47"/>
    <w:rsid w:val="008729CB"/>
    <w:rsid w:val="00872EF9"/>
    <w:rsid w:val="00873654"/>
    <w:rsid w:val="008813C8"/>
    <w:rsid w:val="00882736"/>
    <w:rsid w:val="008867AA"/>
    <w:rsid w:val="0088726C"/>
    <w:rsid w:val="008873A7"/>
    <w:rsid w:val="00887B66"/>
    <w:rsid w:val="008902CB"/>
    <w:rsid w:val="00891799"/>
    <w:rsid w:val="00891FC9"/>
    <w:rsid w:val="00896DDC"/>
    <w:rsid w:val="008A1509"/>
    <w:rsid w:val="008A2638"/>
    <w:rsid w:val="008A4819"/>
    <w:rsid w:val="008A4A52"/>
    <w:rsid w:val="008A54D0"/>
    <w:rsid w:val="008A765B"/>
    <w:rsid w:val="008B0F73"/>
    <w:rsid w:val="008B1D3C"/>
    <w:rsid w:val="008B406C"/>
    <w:rsid w:val="008C1377"/>
    <w:rsid w:val="008C2EB5"/>
    <w:rsid w:val="008C3CBC"/>
    <w:rsid w:val="008C5019"/>
    <w:rsid w:val="008C57BC"/>
    <w:rsid w:val="008D66E1"/>
    <w:rsid w:val="008E3684"/>
    <w:rsid w:val="008E392C"/>
    <w:rsid w:val="008E5FB6"/>
    <w:rsid w:val="008E6398"/>
    <w:rsid w:val="008F1DE7"/>
    <w:rsid w:val="008F238A"/>
    <w:rsid w:val="008F368D"/>
    <w:rsid w:val="008F7D3F"/>
    <w:rsid w:val="009043F7"/>
    <w:rsid w:val="00907803"/>
    <w:rsid w:val="0091254F"/>
    <w:rsid w:val="009125AA"/>
    <w:rsid w:val="00914BB1"/>
    <w:rsid w:val="0091570E"/>
    <w:rsid w:val="009157B7"/>
    <w:rsid w:val="0091746A"/>
    <w:rsid w:val="009317CA"/>
    <w:rsid w:val="00931BD1"/>
    <w:rsid w:val="00931BDB"/>
    <w:rsid w:val="00933395"/>
    <w:rsid w:val="009348B6"/>
    <w:rsid w:val="0093703F"/>
    <w:rsid w:val="00937F17"/>
    <w:rsid w:val="009441DD"/>
    <w:rsid w:val="00946056"/>
    <w:rsid w:val="00946ACB"/>
    <w:rsid w:val="00951218"/>
    <w:rsid w:val="0095428A"/>
    <w:rsid w:val="00955352"/>
    <w:rsid w:val="00956EAD"/>
    <w:rsid w:val="009579B6"/>
    <w:rsid w:val="00957BF9"/>
    <w:rsid w:val="00957EC7"/>
    <w:rsid w:val="009623C0"/>
    <w:rsid w:val="009636F8"/>
    <w:rsid w:val="009644CC"/>
    <w:rsid w:val="0096450E"/>
    <w:rsid w:val="00967749"/>
    <w:rsid w:val="009707D8"/>
    <w:rsid w:val="00974C83"/>
    <w:rsid w:val="00976940"/>
    <w:rsid w:val="00980045"/>
    <w:rsid w:val="0098029B"/>
    <w:rsid w:val="00981C9A"/>
    <w:rsid w:val="009842AE"/>
    <w:rsid w:val="00986444"/>
    <w:rsid w:val="009A1115"/>
    <w:rsid w:val="009A3831"/>
    <w:rsid w:val="009A3D01"/>
    <w:rsid w:val="009A58E3"/>
    <w:rsid w:val="009A6B9F"/>
    <w:rsid w:val="009A716C"/>
    <w:rsid w:val="009A792A"/>
    <w:rsid w:val="009B1D65"/>
    <w:rsid w:val="009B1DE0"/>
    <w:rsid w:val="009B264E"/>
    <w:rsid w:val="009B2E2D"/>
    <w:rsid w:val="009B4E70"/>
    <w:rsid w:val="009B76B7"/>
    <w:rsid w:val="009C03D5"/>
    <w:rsid w:val="009C08D9"/>
    <w:rsid w:val="009C3C0C"/>
    <w:rsid w:val="009C3E95"/>
    <w:rsid w:val="009C4D9E"/>
    <w:rsid w:val="009C5229"/>
    <w:rsid w:val="009C5576"/>
    <w:rsid w:val="009C5E18"/>
    <w:rsid w:val="009C68AE"/>
    <w:rsid w:val="009C75F6"/>
    <w:rsid w:val="009C793C"/>
    <w:rsid w:val="009D0B55"/>
    <w:rsid w:val="009D0FFC"/>
    <w:rsid w:val="009D6447"/>
    <w:rsid w:val="009D78AC"/>
    <w:rsid w:val="009E153C"/>
    <w:rsid w:val="009E2DB7"/>
    <w:rsid w:val="009E33B7"/>
    <w:rsid w:val="009E3F49"/>
    <w:rsid w:val="009E404D"/>
    <w:rsid w:val="009E653E"/>
    <w:rsid w:val="009F14EB"/>
    <w:rsid w:val="009F3F86"/>
    <w:rsid w:val="009F4B5A"/>
    <w:rsid w:val="009F6C01"/>
    <w:rsid w:val="009F763A"/>
    <w:rsid w:val="00A0005A"/>
    <w:rsid w:val="00A016D6"/>
    <w:rsid w:val="00A02B21"/>
    <w:rsid w:val="00A03D37"/>
    <w:rsid w:val="00A050DB"/>
    <w:rsid w:val="00A06456"/>
    <w:rsid w:val="00A067BD"/>
    <w:rsid w:val="00A06BC0"/>
    <w:rsid w:val="00A06C03"/>
    <w:rsid w:val="00A07407"/>
    <w:rsid w:val="00A106E6"/>
    <w:rsid w:val="00A1392E"/>
    <w:rsid w:val="00A13EEE"/>
    <w:rsid w:val="00A17A80"/>
    <w:rsid w:val="00A23C27"/>
    <w:rsid w:val="00A25F1C"/>
    <w:rsid w:val="00A26079"/>
    <w:rsid w:val="00A314D5"/>
    <w:rsid w:val="00A3151C"/>
    <w:rsid w:val="00A330FC"/>
    <w:rsid w:val="00A341DD"/>
    <w:rsid w:val="00A35C63"/>
    <w:rsid w:val="00A37FA4"/>
    <w:rsid w:val="00A4041F"/>
    <w:rsid w:val="00A4169D"/>
    <w:rsid w:val="00A479F5"/>
    <w:rsid w:val="00A51D4B"/>
    <w:rsid w:val="00A5298D"/>
    <w:rsid w:val="00A55B63"/>
    <w:rsid w:val="00A60003"/>
    <w:rsid w:val="00A60809"/>
    <w:rsid w:val="00A61091"/>
    <w:rsid w:val="00A64375"/>
    <w:rsid w:val="00A663D7"/>
    <w:rsid w:val="00A75F09"/>
    <w:rsid w:val="00A82613"/>
    <w:rsid w:val="00A828F4"/>
    <w:rsid w:val="00A831CD"/>
    <w:rsid w:val="00A838C8"/>
    <w:rsid w:val="00A858B5"/>
    <w:rsid w:val="00A86569"/>
    <w:rsid w:val="00A9038C"/>
    <w:rsid w:val="00A90ACF"/>
    <w:rsid w:val="00A91964"/>
    <w:rsid w:val="00A91E49"/>
    <w:rsid w:val="00A93CFE"/>
    <w:rsid w:val="00A962E7"/>
    <w:rsid w:val="00A97410"/>
    <w:rsid w:val="00AA142D"/>
    <w:rsid w:val="00AA1661"/>
    <w:rsid w:val="00AA3EC3"/>
    <w:rsid w:val="00AA72C3"/>
    <w:rsid w:val="00AA7988"/>
    <w:rsid w:val="00AB318E"/>
    <w:rsid w:val="00AB39AC"/>
    <w:rsid w:val="00AB3B00"/>
    <w:rsid w:val="00AB4065"/>
    <w:rsid w:val="00AB62FE"/>
    <w:rsid w:val="00AC017B"/>
    <w:rsid w:val="00AC0B2C"/>
    <w:rsid w:val="00AC4454"/>
    <w:rsid w:val="00AC7BAF"/>
    <w:rsid w:val="00AD25BC"/>
    <w:rsid w:val="00AD27BC"/>
    <w:rsid w:val="00AD346C"/>
    <w:rsid w:val="00AD3CDD"/>
    <w:rsid w:val="00AD5441"/>
    <w:rsid w:val="00AD5F16"/>
    <w:rsid w:val="00AD5F93"/>
    <w:rsid w:val="00AE2C18"/>
    <w:rsid w:val="00AE2F0C"/>
    <w:rsid w:val="00AE4173"/>
    <w:rsid w:val="00AE75CF"/>
    <w:rsid w:val="00AF07B4"/>
    <w:rsid w:val="00AF2526"/>
    <w:rsid w:val="00AF29F1"/>
    <w:rsid w:val="00AF2FFD"/>
    <w:rsid w:val="00AF3F7C"/>
    <w:rsid w:val="00AF48AB"/>
    <w:rsid w:val="00AF517D"/>
    <w:rsid w:val="00AF7178"/>
    <w:rsid w:val="00B01C2F"/>
    <w:rsid w:val="00B0438C"/>
    <w:rsid w:val="00B05290"/>
    <w:rsid w:val="00B063F0"/>
    <w:rsid w:val="00B06A4C"/>
    <w:rsid w:val="00B1062E"/>
    <w:rsid w:val="00B10F1A"/>
    <w:rsid w:val="00B11363"/>
    <w:rsid w:val="00B12DBB"/>
    <w:rsid w:val="00B161A3"/>
    <w:rsid w:val="00B1789E"/>
    <w:rsid w:val="00B17C37"/>
    <w:rsid w:val="00B207F0"/>
    <w:rsid w:val="00B2551D"/>
    <w:rsid w:val="00B302ED"/>
    <w:rsid w:val="00B330E6"/>
    <w:rsid w:val="00B343C5"/>
    <w:rsid w:val="00B34634"/>
    <w:rsid w:val="00B35A0D"/>
    <w:rsid w:val="00B42E20"/>
    <w:rsid w:val="00B446AE"/>
    <w:rsid w:val="00B464E9"/>
    <w:rsid w:val="00B46C92"/>
    <w:rsid w:val="00B47DF9"/>
    <w:rsid w:val="00B506F2"/>
    <w:rsid w:val="00B50720"/>
    <w:rsid w:val="00B519F9"/>
    <w:rsid w:val="00B52C8C"/>
    <w:rsid w:val="00B564AC"/>
    <w:rsid w:val="00B57C19"/>
    <w:rsid w:val="00B57D42"/>
    <w:rsid w:val="00B64F49"/>
    <w:rsid w:val="00B67287"/>
    <w:rsid w:val="00B700A5"/>
    <w:rsid w:val="00B7084D"/>
    <w:rsid w:val="00B71CDD"/>
    <w:rsid w:val="00B7584A"/>
    <w:rsid w:val="00B77928"/>
    <w:rsid w:val="00B77FE4"/>
    <w:rsid w:val="00B816FC"/>
    <w:rsid w:val="00B81789"/>
    <w:rsid w:val="00B81C8A"/>
    <w:rsid w:val="00B822E7"/>
    <w:rsid w:val="00B830C6"/>
    <w:rsid w:val="00B87224"/>
    <w:rsid w:val="00B8779E"/>
    <w:rsid w:val="00B909D3"/>
    <w:rsid w:val="00B933EB"/>
    <w:rsid w:val="00B94A46"/>
    <w:rsid w:val="00B96822"/>
    <w:rsid w:val="00BA2863"/>
    <w:rsid w:val="00BA4AB0"/>
    <w:rsid w:val="00BA5B8B"/>
    <w:rsid w:val="00BA622C"/>
    <w:rsid w:val="00BA6993"/>
    <w:rsid w:val="00BA6C3E"/>
    <w:rsid w:val="00BA7BFB"/>
    <w:rsid w:val="00BB084E"/>
    <w:rsid w:val="00BB2B38"/>
    <w:rsid w:val="00BB721A"/>
    <w:rsid w:val="00BC23E2"/>
    <w:rsid w:val="00BC2432"/>
    <w:rsid w:val="00BC4F58"/>
    <w:rsid w:val="00BC5567"/>
    <w:rsid w:val="00BC730C"/>
    <w:rsid w:val="00BC7936"/>
    <w:rsid w:val="00BD067C"/>
    <w:rsid w:val="00BD52B5"/>
    <w:rsid w:val="00BE27E5"/>
    <w:rsid w:val="00BE3089"/>
    <w:rsid w:val="00BF0291"/>
    <w:rsid w:val="00BF0E11"/>
    <w:rsid w:val="00BF45F5"/>
    <w:rsid w:val="00BF4E48"/>
    <w:rsid w:val="00BF4E76"/>
    <w:rsid w:val="00BF7F3A"/>
    <w:rsid w:val="00C01DE8"/>
    <w:rsid w:val="00C03EE8"/>
    <w:rsid w:val="00C04A74"/>
    <w:rsid w:val="00C063BE"/>
    <w:rsid w:val="00C07E2E"/>
    <w:rsid w:val="00C10158"/>
    <w:rsid w:val="00C10617"/>
    <w:rsid w:val="00C10D2C"/>
    <w:rsid w:val="00C12531"/>
    <w:rsid w:val="00C1585A"/>
    <w:rsid w:val="00C177BE"/>
    <w:rsid w:val="00C21BF8"/>
    <w:rsid w:val="00C235C6"/>
    <w:rsid w:val="00C264CF"/>
    <w:rsid w:val="00C27585"/>
    <w:rsid w:val="00C27BCE"/>
    <w:rsid w:val="00C3126C"/>
    <w:rsid w:val="00C31A8C"/>
    <w:rsid w:val="00C31B9E"/>
    <w:rsid w:val="00C322F1"/>
    <w:rsid w:val="00C36557"/>
    <w:rsid w:val="00C3742F"/>
    <w:rsid w:val="00C4019E"/>
    <w:rsid w:val="00C40AE1"/>
    <w:rsid w:val="00C413EB"/>
    <w:rsid w:val="00C448C0"/>
    <w:rsid w:val="00C45F5E"/>
    <w:rsid w:val="00C46830"/>
    <w:rsid w:val="00C50151"/>
    <w:rsid w:val="00C50C7E"/>
    <w:rsid w:val="00C521E5"/>
    <w:rsid w:val="00C54C25"/>
    <w:rsid w:val="00C54D66"/>
    <w:rsid w:val="00C54E26"/>
    <w:rsid w:val="00C55813"/>
    <w:rsid w:val="00C57B5F"/>
    <w:rsid w:val="00C6152C"/>
    <w:rsid w:val="00C616A7"/>
    <w:rsid w:val="00C64408"/>
    <w:rsid w:val="00C707DC"/>
    <w:rsid w:val="00C72D4A"/>
    <w:rsid w:val="00C74942"/>
    <w:rsid w:val="00C76AC5"/>
    <w:rsid w:val="00C77490"/>
    <w:rsid w:val="00C77C68"/>
    <w:rsid w:val="00C80A69"/>
    <w:rsid w:val="00C865F0"/>
    <w:rsid w:val="00C86C3C"/>
    <w:rsid w:val="00C873BB"/>
    <w:rsid w:val="00C90718"/>
    <w:rsid w:val="00C918EF"/>
    <w:rsid w:val="00C96120"/>
    <w:rsid w:val="00CA1E0E"/>
    <w:rsid w:val="00CA5873"/>
    <w:rsid w:val="00CA6A06"/>
    <w:rsid w:val="00CA7552"/>
    <w:rsid w:val="00CB0CA5"/>
    <w:rsid w:val="00CB15EA"/>
    <w:rsid w:val="00CB2AC6"/>
    <w:rsid w:val="00CB6012"/>
    <w:rsid w:val="00CB66F7"/>
    <w:rsid w:val="00CB706F"/>
    <w:rsid w:val="00CC14A9"/>
    <w:rsid w:val="00CC5AC6"/>
    <w:rsid w:val="00CC6FFF"/>
    <w:rsid w:val="00CD26E1"/>
    <w:rsid w:val="00CD2D92"/>
    <w:rsid w:val="00CD4B92"/>
    <w:rsid w:val="00CD4CFE"/>
    <w:rsid w:val="00CD6581"/>
    <w:rsid w:val="00CE1BFD"/>
    <w:rsid w:val="00CE1D0A"/>
    <w:rsid w:val="00CE354B"/>
    <w:rsid w:val="00CE4411"/>
    <w:rsid w:val="00CE5F65"/>
    <w:rsid w:val="00CE64A2"/>
    <w:rsid w:val="00CE6A50"/>
    <w:rsid w:val="00CF00FC"/>
    <w:rsid w:val="00CF5847"/>
    <w:rsid w:val="00CF7E72"/>
    <w:rsid w:val="00D01AAA"/>
    <w:rsid w:val="00D03E63"/>
    <w:rsid w:val="00D0415D"/>
    <w:rsid w:val="00D061D1"/>
    <w:rsid w:val="00D06406"/>
    <w:rsid w:val="00D0725F"/>
    <w:rsid w:val="00D073C8"/>
    <w:rsid w:val="00D119F3"/>
    <w:rsid w:val="00D11A3A"/>
    <w:rsid w:val="00D13B3D"/>
    <w:rsid w:val="00D14ABE"/>
    <w:rsid w:val="00D14E6C"/>
    <w:rsid w:val="00D269BF"/>
    <w:rsid w:val="00D273B0"/>
    <w:rsid w:val="00D30CEC"/>
    <w:rsid w:val="00D32589"/>
    <w:rsid w:val="00D34421"/>
    <w:rsid w:val="00D34D1D"/>
    <w:rsid w:val="00D358A0"/>
    <w:rsid w:val="00D37416"/>
    <w:rsid w:val="00D406C6"/>
    <w:rsid w:val="00D4101A"/>
    <w:rsid w:val="00D42F28"/>
    <w:rsid w:val="00D44F4A"/>
    <w:rsid w:val="00D450C0"/>
    <w:rsid w:val="00D467B3"/>
    <w:rsid w:val="00D51DEA"/>
    <w:rsid w:val="00D529E7"/>
    <w:rsid w:val="00D53C50"/>
    <w:rsid w:val="00D561FE"/>
    <w:rsid w:val="00D607F0"/>
    <w:rsid w:val="00D613A1"/>
    <w:rsid w:val="00D6376E"/>
    <w:rsid w:val="00D64FDD"/>
    <w:rsid w:val="00D65418"/>
    <w:rsid w:val="00D664AC"/>
    <w:rsid w:val="00D67024"/>
    <w:rsid w:val="00D671CB"/>
    <w:rsid w:val="00D706F3"/>
    <w:rsid w:val="00D74E5A"/>
    <w:rsid w:val="00D75429"/>
    <w:rsid w:val="00D760C6"/>
    <w:rsid w:val="00D76413"/>
    <w:rsid w:val="00D770AF"/>
    <w:rsid w:val="00D80253"/>
    <w:rsid w:val="00D80822"/>
    <w:rsid w:val="00D81F81"/>
    <w:rsid w:val="00D83743"/>
    <w:rsid w:val="00D926A0"/>
    <w:rsid w:val="00D93917"/>
    <w:rsid w:val="00D952B7"/>
    <w:rsid w:val="00D9770D"/>
    <w:rsid w:val="00DA16D9"/>
    <w:rsid w:val="00DA3938"/>
    <w:rsid w:val="00DA661C"/>
    <w:rsid w:val="00DA6B20"/>
    <w:rsid w:val="00DB4A82"/>
    <w:rsid w:val="00DB50B8"/>
    <w:rsid w:val="00DB660B"/>
    <w:rsid w:val="00DB7F2D"/>
    <w:rsid w:val="00DC105F"/>
    <w:rsid w:val="00DC1C1B"/>
    <w:rsid w:val="00DC3139"/>
    <w:rsid w:val="00DC38C7"/>
    <w:rsid w:val="00DC4523"/>
    <w:rsid w:val="00DC71C6"/>
    <w:rsid w:val="00DC7567"/>
    <w:rsid w:val="00DD0643"/>
    <w:rsid w:val="00DD0EB1"/>
    <w:rsid w:val="00DD1068"/>
    <w:rsid w:val="00DD1B6E"/>
    <w:rsid w:val="00DD1DAC"/>
    <w:rsid w:val="00DD39F4"/>
    <w:rsid w:val="00DD400B"/>
    <w:rsid w:val="00DD5251"/>
    <w:rsid w:val="00DD5B40"/>
    <w:rsid w:val="00DD5DE9"/>
    <w:rsid w:val="00DE0B8D"/>
    <w:rsid w:val="00DE12F8"/>
    <w:rsid w:val="00DE184F"/>
    <w:rsid w:val="00DE1C87"/>
    <w:rsid w:val="00DE21A7"/>
    <w:rsid w:val="00DE70DC"/>
    <w:rsid w:val="00DE71BE"/>
    <w:rsid w:val="00DF1650"/>
    <w:rsid w:val="00DF1B90"/>
    <w:rsid w:val="00DF471B"/>
    <w:rsid w:val="00E0072F"/>
    <w:rsid w:val="00E00E36"/>
    <w:rsid w:val="00E03270"/>
    <w:rsid w:val="00E043E5"/>
    <w:rsid w:val="00E046C3"/>
    <w:rsid w:val="00E04FA4"/>
    <w:rsid w:val="00E05BD7"/>
    <w:rsid w:val="00E0615C"/>
    <w:rsid w:val="00E10F6E"/>
    <w:rsid w:val="00E113AB"/>
    <w:rsid w:val="00E113F2"/>
    <w:rsid w:val="00E13A69"/>
    <w:rsid w:val="00E16E5D"/>
    <w:rsid w:val="00E17569"/>
    <w:rsid w:val="00E20FB0"/>
    <w:rsid w:val="00E2633F"/>
    <w:rsid w:val="00E312C9"/>
    <w:rsid w:val="00E37B7E"/>
    <w:rsid w:val="00E43178"/>
    <w:rsid w:val="00E44420"/>
    <w:rsid w:val="00E4538B"/>
    <w:rsid w:val="00E470A6"/>
    <w:rsid w:val="00E4721A"/>
    <w:rsid w:val="00E47F4D"/>
    <w:rsid w:val="00E52A9E"/>
    <w:rsid w:val="00E54328"/>
    <w:rsid w:val="00E559BA"/>
    <w:rsid w:val="00E608E9"/>
    <w:rsid w:val="00E66FD1"/>
    <w:rsid w:val="00E73D12"/>
    <w:rsid w:val="00E76DE3"/>
    <w:rsid w:val="00E77788"/>
    <w:rsid w:val="00E80D4D"/>
    <w:rsid w:val="00E82105"/>
    <w:rsid w:val="00E83B25"/>
    <w:rsid w:val="00E848F2"/>
    <w:rsid w:val="00E865B1"/>
    <w:rsid w:val="00E90006"/>
    <w:rsid w:val="00E9065E"/>
    <w:rsid w:val="00E91002"/>
    <w:rsid w:val="00E96B5B"/>
    <w:rsid w:val="00E96FC8"/>
    <w:rsid w:val="00EA015A"/>
    <w:rsid w:val="00EA0D06"/>
    <w:rsid w:val="00EA107B"/>
    <w:rsid w:val="00EA54CE"/>
    <w:rsid w:val="00EB2077"/>
    <w:rsid w:val="00EB5623"/>
    <w:rsid w:val="00EC1D76"/>
    <w:rsid w:val="00EC2152"/>
    <w:rsid w:val="00EC5C65"/>
    <w:rsid w:val="00EC618E"/>
    <w:rsid w:val="00EC7A76"/>
    <w:rsid w:val="00ED2DE7"/>
    <w:rsid w:val="00ED4919"/>
    <w:rsid w:val="00ED6B47"/>
    <w:rsid w:val="00ED6BAC"/>
    <w:rsid w:val="00ED727A"/>
    <w:rsid w:val="00EE2408"/>
    <w:rsid w:val="00EE4C84"/>
    <w:rsid w:val="00EF1EF8"/>
    <w:rsid w:val="00EF4D90"/>
    <w:rsid w:val="00EF7BE7"/>
    <w:rsid w:val="00F00362"/>
    <w:rsid w:val="00F00410"/>
    <w:rsid w:val="00F047D2"/>
    <w:rsid w:val="00F047EA"/>
    <w:rsid w:val="00F067F1"/>
    <w:rsid w:val="00F116DC"/>
    <w:rsid w:val="00F119CC"/>
    <w:rsid w:val="00F12B88"/>
    <w:rsid w:val="00F12CD6"/>
    <w:rsid w:val="00F14A39"/>
    <w:rsid w:val="00F168C1"/>
    <w:rsid w:val="00F17DF1"/>
    <w:rsid w:val="00F241CC"/>
    <w:rsid w:val="00F321BF"/>
    <w:rsid w:val="00F345ED"/>
    <w:rsid w:val="00F3595C"/>
    <w:rsid w:val="00F37363"/>
    <w:rsid w:val="00F40F95"/>
    <w:rsid w:val="00F45B9D"/>
    <w:rsid w:val="00F46F8B"/>
    <w:rsid w:val="00F511ED"/>
    <w:rsid w:val="00F521D0"/>
    <w:rsid w:val="00F539F0"/>
    <w:rsid w:val="00F54CE1"/>
    <w:rsid w:val="00F54D47"/>
    <w:rsid w:val="00F557D7"/>
    <w:rsid w:val="00F5790B"/>
    <w:rsid w:val="00F606DA"/>
    <w:rsid w:val="00F65003"/>
    <w:rsid w:val="00F72624"/>
    <w:rsid w:val="00F73490"/>
    <w:rsid w:val="00F74BF1"/>
    <w:rsid w:val="00F7668F"/>
    <w:rsid w:val="00F7694E"/>
    <w:rsid w:val="00F77AFB"/>
    <w:rsid w:val="00F77EDC"/>
    <w:rsid w:val="00F817A0"/>
    <w:rsid w:val="00F82876"/>
    <w:rsid w:val="00F845FA"/>
    <w:rsid w:val="00F94124"/>
    <w:rsid w:val="00F97CF0"/>
    <w:rsid w:val="00FA0A0B"/>
    <w:rsid w:val="00FA0D74"/>
    <w:rsid w:val="00FA1ACA"/>
    <w:rsid w:val="00FA2A68"/>
    <w:rsid w:val="00FA33D2"/>
    <w:rsid w:val="00FA4186"/>
    <w:rsid w:val="00FA631C"/>
    <w:rsid w:val="00FA6A11"/>
    <w:rsid w:val="00FA7B24"/>
    <w:rsid w:val="00FB15A1"/>
    <w:rsid w:val="00FB198D"/>
    <w:rsid w:val="00FB1E65"/>
    <w:rsid w:val="00FB7A59"/>
    <w:rsid w:val="00FC0E15"/>
    <w:rsid w:val="00FC0E93"/>
    <w:rsid w:val="00FC22C3"/>
    <w:rsid w:val="00FC4ED1"/>
    <w:rsid w:val="00FC6902"/>
    <w:rsid w:val="00FD09E3"/>
    <w:rsid w:val="00FD0C38"/>
    <w:rsid w:val="00FD4656"/>
    <w:rsid w:val="00FD4BFD"/>
    <w:rsid w:val="00FD6A40"/>
    <w:rsid w:val="00FD7450"/>
    <w:rsid w:val="00FD7727"/>
    <w:rsid w:val="00FE0186"/>
    <w:rsid w:val="00FE0E0B"/>
    <w:rsid w:val="00FE457C"/>
    <w:rsid w:val="00FE5B72"/>
    <w:rsid w:val="00FF2FA5"/>
    <w:rsid w:val="00FF5DEB"/>
    <w:rsid w:val="00FF7F8E"/>
    <w:rsid w:val="1E4E3662"/>
    <w:rsid w:val="6FDF8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ocked="1"/>
    <w:lsdException w:qFormat="1" w:unhideWhenUsed="0" w:uiPriority="0" w:semiHidden="0" w:name="Emphasis" w:locked="1"/>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1"/>
    <w:qFormat/>
    <w:uiPriority w:val="99"/>
    <w:rPr>
      <w:rFonts w:ascii="仿宋_GB2312" w:eastAsia="仿宋_GB2312"/>
      <w:sz w:val="30"/>
      <w:szCs w:val="20"/>
    </w:rPr>
  </w:style>
  <w:style w:type="paragraph" w:styleId="3">
    <w:name w:val="Body Text Indent"/>
    <w:basedOn w:val="1"/>
    <w:link w:val="30"/>
    <w:qFormat/>
    <w:uiPriority w:val="99"/>
    <w:pPr>
      <w:spacing w:after="120" w:line="120" w:lineRule="atLeast"/>
      <w:ind w:firstLine="660"/>
    </w:pPr>
    <w:rPr>
      <w:rFonts w:ascii="仿宋_GB2312" w:eastAsia="仿宋_GB2312"/>
      <w:sz w:val="32"/>
    </w:rPr>
  </w:style>
  <w:style w:type="paragraph" w:styleId="4">
    <w:name w:val="Plain Text"/>
    <w:basedOn w:val="1"/>
    <w:link w:val="25"/>
    <w:uiPriority w:val="0"/>
    <w:rPr>
      <w:rFonts w:ascii="宋体" w:hAnsi="Courier New" w:cs="Courier New"/>
      <w:szCs w:val="21"/>
    </w:rPr>
  </w:style>
  <w:style w:type="paragraph" w:styleId="5">
    <w:name w:val="Date"/>
    <w:basedOn w:val="1"/>
    <w:next w:val="1"/>
    <w:link w:val="40"/>
    <w:qFormat/>
    <w:uiPriority w:val="99"/>
    <w:rPr>
      <w:rFonts w:ascii="仿宋_GB2312" w:eastAsia="仿宋_GB2312"/>
      <w:sz w:val="32"/>
      <w:szCs w:val="20"/>
    </w:rPr>
  </w:style>
  <w:style w:type="paragraph" w:styleId="6">
    <w:name w:val="Body Text Indent 2"/>
    <w:basedOn w:val="1"/>
    <w:link w:val="43"/>
    <w:qFormat/>
    <w:uiPriority w:val="99"/>
    <w:pPr>
      <w:snapToGrid w:val="0"/>
      <w:ind w:left="540"/>
    </w:pPr>
    <w:rPr>
      <w:sz w:val="28"/>
      <w:szCs w:val="20"/>
    </w:rPr>
  </w:style>
  <w:style w:type="paragraph" w:styleId="7">
    <w:name w:val="Balloon Text"/>
    <w:basedOn w:val="1"/>
    <w:link w:val="24"/>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2"/>
    <w:qFormat/>
    <w:uiPriority w:val="99"/>
    <w:pPr>
      <w:tabs>
        <w:tab w:val="center" w:pos="4153"/>
        <w:tab w:val="right" w:pos="8306"/>
      </w:tabs>
      <w:snapToGrid w:val="0"/>
      <w:jc w:val="center"/>
    </w:pPr>
    <w:rPr>
      <w:sz w:val="18"/>
      <w:szCs w:val="18"/>
    </w:rPr>
  </w:style>
  <w:style w:type="paragraph" w:styleId="10">
    <w:name w:val="Subtitle"/>
    <w:basedOn w:val="1"/>
    <w:next w:val="1"/>
    <w:link w:val="33"/>
    <w:qFormat/>
    <w:locked/>
    <w:uiPriority w:val="0"/>
    <w:pPr>
      <w:spacing w:before="240" w:after="60" w:line="312" w:lineRule="auto"/>
      <w:jc w:val="center"/>
      <w:outlineLvl w:val="1"/>
    </w:pPr>
    <w:rPr>
      <w:rFonts w:ascii="Cambria" w:hAnsi="Cambria"/>
      <w:b/>
      <w:bCs/>
      <w:kern w:val="28"/>
      <w:sz w:val="32"/>
      <w:szCs w:val="32"/>
    </w:rPr>
  </w:style>
  <w:style w:type="paragraph" w:styleId="11">
    <w:name w:val="footnote text"/>
    <w:basedOn w:val="1"/>
    <w:link w:val="28"/>
    <w:semiHidden/>
    <w:unhideWhenUsed/>
    <w:uiPriority w:val="99"/>
    <w:pPr>
      <w:snapToGrid w:val="0"/>
      <w:jc w:val="left"/>
    </w:pPr>
    <w:rPr>
      <w:sz w:val="18"/>
      <w:szCs w:val="18"/>
    </w:rPr>
  </w:style>
  <w:style w:type="paragraph" w:styleId="12">
    <w:name w:val="Body Text Indent 3"/>
    <w:basedOn w:val="1"/>
    <w:link w:val="42"/>
    <w:qFormat/>
    <w:uiPriority w:val="99"/>
    <w:pPr>
      <w:spacing w:beforeLines="50"/>
      <w:ind w:left="720"/>
    </w:pPr>
    <w:rPr>
      <w:rFonts w:eastAsia="楷体_GB2312"/>
      <w:sz w:val="24"/>
      <w:szCs w:val="20"/>
    </w:rPr>
  </w:style>
  <w:style w:type="paragraph" w:styleId="13">
    <w:name w:val="HTML Preformatted"/>
    <w:basedOn w:val="1"/>
    <w:link w:val="32"/>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4">
    <w:name w:val="Normal (Web)"/>
    <w:basedOn w:val="1"/>
    <w:qFormat/>
    <w:uiPriority w:val="99"/>
    <w:pPr>
      <w:widowControl/>
      <w:spacing w:before="100" w:after="100"/>
      <w:jc w:val="left"/>
    </w:pPr>
    <w:rPr>
      <w:rFonts w:ascii="宋体" w:hAnsi="宋体"/>
      <w:kern w:val="0"/>
      <w:sz w:val="24"/>
      <w:szCs w:val="20"/>
    </w:rPr>
  </w:style>
  <w:style w:type="character" w:styleId="17">
    <w:name w:val="Strong"/>
    <w:basedOn w:val="16"/>
    <w:qFormat/>
    <w:locked/>
    <w:uiPriority w:val="99"/>
    <w:rPr>
      <w:rFonts w:cs="Times New Roman"/>
      <w:b/>
    </w:rPr>
  </w:style>
  <w:style w:type="character" w:styleId="18">
    <w:name w:val="page number"/>
    <w:basedOn w:val="16"/>
    <w:uiPriority w:val="99"/>
    <w:rPr>
      <w:rFonts w:cs="Times New Roman"/>
    </w:rPr>
  </w:style>
  <w:style w:type="character" w:styleId="19">
    <w:name w:val="FollowedHyperlink"/>
    <w:basedOn w:val="16"/>
    <w:qFormat/>
    <w:uiPriority w:val="99"/>
    <w:rPr>
      <w:rFonts w:cs="Times New Roman"/>
      <w:color w:val="800080"/>
      <w:u w:val="single"/>
    </w:rPr>
  </w:style>
  <w:style w:type="character" w:styleId="20">
    <w:name w:val="Hyperlink"/>
    <w:basedOn w:val="16"/>
    <w:qFormat/>
    <w:uiPriority w:val="99"/>
    <w:rPr>
      <w:rFonts w:cs="Times New Roman"/>
      <w:color w:val="0000FF"/>
      <w:u w:val="single"/>
    </w:rPr>
  </w:style>
  <w:style w:type="character" w:styleId="21">
    <w:name w:val="footnote reference"/>
    <w:basedOn w:val="16"/>
    <w:semiHidden/>
    <w:unhideWhenUsed/>
    <w:uiPriority w:val="99"/>
    <w:rPr>
      <w:vertAlign w:val="superscript"/>
    </w:rPr>
  </w:style>
  <w:style w:type="character" w:customStyle="1" w:styleId="22">
    <w:name w:val="页眉 Char"/>
    <w:basedOn w:val="16"/>
    <w:link w:val="9"/>
    <w:semiHidden/>
    <w:qFormat/>
    <w:locked/>
    <w:uiPriority w:val="99"/>
    <w:rPr>
      <w:rFonts w:ascii="Times New Roman" w:hAnsi="Times New Roman"/>
      <w:kern w:val="2"/>
      <w:sz w:val="18"/>
      <w:szCs w:val="18"/>
    </w:rPr>
  </w:style>
  <w:style w:type="character" w:customStyle="1" w:styleId="23">
    <w:name w:val="页脚 Char"/>
    <w:basedOn w:val="16"/>
    <w:link w:val="8"/>
    <w:locked/>
    <w:uiPriority w:val="99"/>
    <w:rPr>
      <w:rFonts w:ascii="Times New Roman" w:hAnsi="Times New Roman" w:eastAsia="宋体" w:cs="Times New Roman"/>
      <w:sz w:val="18"/>
      <w:szCs w:val="18"/>
    </w:rPr>
  </w:style>
  <w:style w:type="character" w:customStyle="1" w:styleId="24">
    <w:name w:val="批注框文本 Char"/>
    <w:basedOn w:val="16"/>
    <w:link w:val="7"/>
    <w:semiHidden/>
    <w:qFormat/>
    <w:locked/>
    <w:uiPriority w:val="99"/>
    <w:rPr>
      <w:rFonts w:ascii="Times New Roman" w:hAnsi="Times New Roman" w:cs="Times New Roman"/>
      <w:sz w:val="2"/>
    </w:rPr>
  </w:style>
  <w:style w:type="character" w:customStyle="1" w:styleId="25">
    <w:name w:val="纯文本 Char"/>
    <w:basedOn w:val="16"/>
    <w:link w:val="4"/>
    <w:locked/>
    <w:uiPriority w:val="0"/>
    <w:rPr>
      <w:rFonts w:ascii="宋体" w:hAnsi="Courier New" w:cs="Courier New"/>
      <w:sz w:val="21"/>
      <w:szCs w:val="21"/>
    </w:rPr>
  </w:style>
  <w:style w:type="paragraph" w:customStyle="1" w:styleId="26">
    <w:name w:val="Char"/>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27">
    <w:name w:val="content"/>
    <w:basedOn w:val="16"/>
    <w:uiPriority w:val="0"/>
  </w:style>
  <w:style w:type="character" w:customStyle="1" w:styleId="28">
    <w:name w:val="脚注文本 Char"/>
    <w:basedOn w:val="16"/>
    <w:link w:val="11"/>
    <w:semiHidden/>
    <w:qFormat/>
    <w:uiPriority w:val="99"/>
    <w:rPr>
      <w:rFonts w:ascii="Times New Roman" w:hAnsi="Times New Roman"/>
      <w:kern w:val="2"/>
      <w:sz w:val="18"/>
      <w:szCs w:val="18"/>
    </w:rPr>
  </w:style>
  <w:style w:type="character" w:customStyle="1" w:styleId="29">
    <w:name w:val="content1"/>
    <w:basedOn w:val="16"/>
    <w:uiPriority w:val="0"/>
    <w:rPr>
      <w:sz w:val="21"/>
      <w:szCs w:val="21"/>
    </w:rPr>
  </w:style>
  <w:style w:type="character" w:customStyle="1" w:styleId="30">
    <w:name w:val="正文文本缩进 Char"/>
    <w:basedOn w:val="16"/>
    <w:link w:val="3"/>
    <w:qFormat/>
    <w:uiPriority w:val="99"/>
    <w:rPr>
      <w:rFonts w:ascii="仿宋_GB2312" w:hAnsi="Times New Roman" w:eastAsia="仿宋_GB2312"/>
      <w:kern w:val="2"/>
      <w:sz w:val="32"/>
      <w:szCs w:val="24"/>
    </w:rPr>
  </w:style>
  <w:style w:type="paragraph" w:styleId="31">
    <w:name w:val="List Paragraph"/>
    <w:basedOn w:val="1"/>
    <w:qFormat/>
    <w:uiPriority w:val="99"/>
    <w:pPr>
      <w:ind w:firstLine="420" w:firstLineChars="200"/>
    </w:pPr>
    <w:rPr>
      <w:rFonts w:ascii="Calibri" w:hAnsi="Calibri" w:cs="Calibri"/>
      <w:szCs w:val="21"/>
    </w:rPr>
  </w:style>
  <w:style w:type="character" w:customStyle="1" w:styleId="32">
    <w:name w:val="HTML 预设格式 Char"/>
    <w:basedOn w:val="16"/>
    <w:link w:val="13"/>
    <w:qFormat/>
    <w:uiPriority w:val="99"/>
    <w:rPr>
      <w:rFonts w:ascii="宋体" w:hAnsi="宋体" w:cs="宋体"/>
      <w:sz w:val="24"/>
      <w:szCs w:val="24"/>
    </w:rPr>
  </w:style>
  <w:style w:type="character" w:customStyle="1" w:styleId="33">
    <w:name w:val="副标题 Char"/>
    <w:basedOn w:val="16"/>
    <w:link w:val="10"/>
    <w:qFormat/>
    <w:uiPriority w:val="0"/>
    <w:rPr>
      <w:rFonts w:ascii="Cambria" w:hAnsi="Cambria"/>
      <w:b/>
      <w:bCs/>
      <w:kern w:val="28"/>
      <w:sz w:val="32"/>
      <w:szCs w:val="32"/>
    </w:rPr>
  </w:style>
  <w:style w:type="character" w:customStyle="1" w:styleId="34">
    <w:name w:val="postal-code"/>
    <w:basedOn w:val="16"/>
    <w:qFormat/>
    <w:uiPriority w:val="99"/>
    <w:rPr>
      <w:rFonts w:cs="Times New Roman"/>
    </w:rPr>
  </w:style>
  <w:style w:type="character" w:customStyle="1" w:styleId="35">
    <w:name w:val="locality"/>
    <w:basedOn w:val="16"/>
    <w:qFormat/>
    <w:uiPriority w:val="99"/>
    <w:rPr>
      <w:rFonts w:cs="Times New Roman"/>
    </w:rPr>
  </w:style>
  <w:style w:type="character" w:customStyle="1" w:styleId="36">
    <w:name w:val="txt-black"/>
    <w:basedOn w:val="16"/>
    <w:qFormat/>
    <w:uiPriority w:val="99"/>
    <w:rPr>
      <w:rFonts w:cs="Times New Roman"/>
    </w:rPr>
  </w:style>
  <w:style w:type="character" w:customStyle="1" w:styleId="37">
    <w:name w:val="country-name"/>
    <w:basedOn w:val="16"/>
    <w:qFormat/>
    <w:uiPriority w:val="99"/>
    <w:rPr>
      <w:rFonts w:cs="Times New Roman"/>
    </w:rPr>
  </w:style>
  <w:style w:type="character" w:customStyle="1" w:styleId="38">
    <w:name w:val="Header Char"/>
    <w:qFormat/>
    <w:locked/>
    <w:uiPriority w:val="99"/>
    <w:rPr>
      <w:kern w:val="2"/>
      <w:sz w:val="18"/>
    </w:rPr>
  </w:style>
  <w:style w:type="character" w:customStyle="1" w:styleId="39">
    <w:name w:val="street-address"/>
    <w:basedOn w:val="16"/>
    <w:qFormat/>
    <w:uiPriority w:val="99"/>
    <w:rPr>
      <w:rFonts w:cs="Times New Roman"/>
    </w:rPr>
  </w:style>
  <w:style w:type="character" w:customStyle="1" w:styleId="40">
    <w:name w:val="日期 Char"/>
    <w:basedOn w:val="16"/>
    <w:link w:val="5"/>
    <w:qFormat/>
    <w:uiPriority w:val="99"/>
    <w:rPr>
      <w:rFonts w:ascii="仿宋_GB2312" w:hAnsi="Times New Roman" w:eastAsia="仿宋_GB2312"/>
      <w:kern w:val="2"/>
      <w:sz w:val="32"/>
    </w:rPr>
  </w:style>
  <w:style w:type="character" w:customStyle="1" w:styleId="41">
    <w:name w:val="正文文本 Char"/>
    <w:basedOn w:val="16"/>
    <w:link w:val="2"/>
    <w:qFormat/>
    <w:uiPriority w:val="99"/>
    <w:rPr>
      <w:rFonts w:ascii="仿宋_GB2312" w:hAnsi="Times New Roman" w:eastAsia="仿宋_GB2312"/>
      <w:kern w:val="2"/>
      <w:sz w:val="30"/>
    </w:rPr>
  </w:style>
  <w:style w:type="character" w:customStyle="1" w:styleId="42">
    <w:name w:val="正文文本缩进 3 Char"/>
    <w:basedOn w:val="16"/>
    <w:link w:val="12"/>
    <w:qFormat/>
    <w:uiPriority w:val="99"/>
    <w:rPr>
      <w:rFonts w:ascii="Times New Roman" w:hAnsi="Times New Roman" w:eastAsia="楷体_GB2312"/>
      <w:kern w:val="2"/>
      <w:sz w:val="24"/>
    </w:rPr>
  </w:style>
  <w:style w:type="character" w:customStyle="1" w:styleId="43">
    <w:name w:val="正文文本缩进 2 Char"/>
    <w:basedOn w:val="16"/>
    <w:link w:val="6"/>
    <w:qFormat/>
    <w:uiPriority w:val="99"/>
    <w:rPr>
      <w:rFonts w:ascii="Times New Roman" w:hAnsi="Times New Roman"/>
      <w:kern w:val="2"/>
      <w:sz w:val="28"/>
    </w:rPr>
  </w:style>
  <w:style w:type="paragraph" w:customStyle="1" w:styleId="44">
    <w:name w:val="报告正文"/>
    <w:qFormat/>
    <w:uiPriority w:val="0"/>
    <w:pPr>
      <w:ind w:firstLine="643" w:firstLineChars="200"/>
    </w:pPr>
    <w:rPr>
      <w:rFonts w:ascii="仿宋_GB2312"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F1B4A08-88BB-426F-A7AA-28B52048D5ED}">
  <ds:schemaRefs/>
</ds:datastoreItem>
</file>

<file path=docProps/app.xml><?xml version="1.0" encoding="utf-8"?>
<Properties xmlns="http://schemas.openxmlformats.org/officeDocument/2006/extended-properties" xmlns:vt="http://schemas.openxmlformats.org/officeDocument/2006/docPropsVTypes">
  <Template>Normal.dotm</Template>
  <Company>Huatai Insurance Co., LTD.</Company>
  <Pages>4</Pages>
  <Words>382</Words>
  <Characters>2184</Characters>
  <Lines>18</Lines>
  <Paragraphs>5</Paragraphs>
  <TotalTime>0</TotalTime>
  <ScaleCrop>false</ScaleCrop>
  <LinksUpToDate>false</LinksUpToDate>
  <CharactersWithSpaces>2561</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2015-07-07T11:01:00Z</dcterms:created>
  <dc:creator>raotingting</dc:creator>
  <cp:lastModifiedBy>彭云龙</cp:lastModifiedBy>
  <cp:lastPrinted>2015-07-21T13:32:00Z</cp:lastPrinted>
  <dcterms:modified xsi:type="dcterms:W3CDTF">2026-07-15T21:47:49Z</dcterms:modified>
  <dc:title>第期</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E09EB902DFF94BBD8588EFE5F646A13E_12</vt:lpwstr>
  </property>
</Properties>
</file>