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258"/>
        </w:tabs>
        <w:ind w:firstLine="0" w:firstLineChars="0"/>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w:t>
      </w:r>
      <w:bookmarkStart w:id="301" w:name="_GoBack"/>
      <w:bookmarkEnd w:id="301"/>
    </w:p>
    <w:p>
      <w:pPr>
        <w:ind w:firstLine="0" w:firstLineChars="0"/>
        <w:jc w:val="center"/>
        <w:rPr>
          <w:rFonts w:ascii="方正小标宋简体" w:hAnsi="方正小标宋简体" w:eastAsia="方正小标宋简体" w:cs="方正小标宋简体"/>
          <w:color w:val="000000" w:themeColor="text1"/>
          <w:sz w:val="52"/>
          <w:szCs w:val="40"/>
          <w14:textFill>
            <w14:solidFill>
              <w14:schemeClr w14:val="tx1"/>
            </w14:solidFill>
          </w14:textFill>
        </w:rPr>
      </w:pPr>
    </w:p>
    <w:p>
      <w:pPr>
        <w:ind w:firstLine="0" w:firstLineChars="0"/>
        <w:jc w:val="center"/>
        <w:rPr>
          <w:rFonts w:ascii="方正小标宋简体" w:hAnsi="方正小标宋简体" w:eastAsia="方正小标宋简体" w:cs="方正小标宋简体"/>
          <w:color w:val="000000" w:themeColor="text1"/>
          <w:sz w:val="52"/>
          <w:szCs w:val="40"/>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方正小标宋简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方正小标宋简体"/>
          <w:color w:val="000000" w:themeColor="text1"/>
          <w:sz w:val="52"/>
          <w:szCs w:val="52"/>
          <w14:textFill>
            <w14:solidFill>
              <w14:schemeClr w14:val="tx1"/>
            </w14:solidFill>
          </w14:textFill>
        </w:rPr>
      </w:pPr>
    </w:p>
    <w:p>
      <w:pPr>
        <w:spacing w:line="240" w:lineRule="auto"/>
        <w:ind w:firstLine="0" w:firstLineChars="0"/>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中国银保监会保险业监管数据标准化规范</w:t>
      </w:r>
    </w:p>
    <w:p>
      <w:pPr>
        <w:ind w:firstLine="0" w:firstLineChars="0"/>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sz w:val="44"/>
          <w:szCs w:val="44"/>
        </w:rPr>
        <w:t>〔保险集团（控股）公司版〕</w:t>
      </w: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华文中宋" w:hAnsi="华文中宋" w:eastAsia="华文中宋" w:cs="黑体"/>
          <w:color w:val="000000" w:themeColor="text1"/>
          <w:sz w:val="52"/>
          <w:szCs w:val="52"/>
          <w14:textFill>
            <w14:solidFill>
              <w14:schemeClr w14:val="tx1"/>
            </w14:solidFill>
          </w14:textFill>
        </w:rPr>
      </w:pPr>
    </w:p>
    <w:p>
      <w:pPr>
        <w:ind w:firstLine="0" w:firstLineChars="0"/>
        <w:jc w:val="center"/>
        <w:rPr>
          <w:rFonts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202</w:t>
      </w:r>
      <w:r>
        <w:rPr>
          <w:rFonts w:ascii="黑体" w:hAnsi="黑体" w:eastAsia="黑体" w:cs="黑体"/>
          <w:color w:val="000000" w:themeColor="text1"/>
          <w:sz w:val="36"/>
          <w:szCs w:val="36"/>
          <w14:textFill>
            <w14:solidFill>
              <w14:schemeClr w14:val="tx1"/>
            </w14:solidFill>
          </w14:textFill>
        </w:rPr>
        <w:t>2</w:t>
      </w:r>
      <w:r>
        <w:rPr>
          <w:rFonts w:hint="eastAsia" w:ascii="黑体" w:hAnsi="黑体" w:eastAsia="黑体" w:cs="黑体"/>
          <w:color w:val="000000" w:themeColor="text1"/>
          <w:sz w:val="36"/>
          <w:szCs w:val="36"/>
          <w14:textFill>
            <w14:solidFill>
              <w14:schemeClr w14:val="tx1"/>
            </w14:solidFill>
          </w14:textFill>
        </w:rPr>
        <w:t>年9月</w:t>
      </w:r>
    </w:p>
    <w:p>
      <w:pPr>
        <w:ind w:firstLine="0" w:firstLineChars="0"/>
        <w:jc w:val="center"/>
        <w:rPr>
          <w:rFonts w:ascii="黑体" w:hAnsi="黑体" w:eastAsia="黑体" w:cs="黑体"/>
          <w:color w:val="000000" w:themeColor="text1"/>
          <w:sz w:val="36"/>
          <w:szCs w:val="36"/>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2154" w:right="1474" w:bottom="1984" w:left="1588" w:header="851" w:footer="1021" w:gutter="0"/>
          <w:pgNumType w:fmt="numberInDash" w:start="1"/>
          <w:cols w:space="720" w:num="1"/>
          <w:docGrid w:type="lines" w:linePitch="312" w:charSpace="0"/>
        </w:sectPr>
      </w:pPr>
    </w:p>
    <w:p>
      <w:pPr>
        <w:ind w:firstLine="0" w:firstLineChars="0"/>
        <w:jc w:val="center"/>
        <w:rPr>
          <w:rFonts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目录</w:t>
      </w:r>
    </w:p>
    <w:p>
      <w:pPr>
        <w:pStyle w:val="12"/>
        <w:tabs>
          <w:tab w:val="right" w:leader="dot" w:pos="8306"/>
        </w:tabs>
        <w:spacing w:line="240" w:lineRule="auto"/>
        <w:ind w:left="1200" w:leftChars="400" w:firstLine="0" w:firstLineChars="0"/>
        <w:jc w:val="both"/>
        <w:rPr>
          <w:rFonts w:ascii="Calibri" w:hAnsi="Calibri" w:eastAsia="宋体"/>
          <w:sz w:val="21"/>
          <w:szCs w:val="22"/>
        </w:rPr>
      </w:pPr>
      <w:r>
        <w:rPr>
          <w:rFonts w:hint="eastAsia" w:ascii="Calibri" w:hAnsi="Calibri" w:eastAsia="宋体"/>
          <w:sz w:val="21"/>
          <w:szCs w:val="22"/>
        </w:rPr>
        <w:fldChar w:fldCharType="begin"/>
      </w:r>
      <w:r>
        <w:rPr>
          <w:rFonts w:hint="eastAsia" w:ascii="Calibri" w:hAnsi="Calibri" w:eastAsia="宋体"/>
          <w:sz w:val="21"/>
          <w:szCs w:val="22"/>
        </w:rPr>
        <w:instrText xml:space="preserve">TOC \o "1-2" \h \u </w:instrText>
      </w:r>
      <w:r>
        <w:rPr>
          <w:rFonts w:hint="eastAsia" w:ascii="Calibri" w:hAnsi="Calibri" w:eastAsia="宋体"/>
          <w:sz w:val="21"/>
          <w:szCs w:val="22"/>
        </w:rPr>
        <w:fldChar w:fldCharType="separate"/>
      </w:r>
      <w:r>
        <w:fldChar w:fldCharType="begin"/>
      </w:r>
      <w:r>
        <w:instrText xml:space="preserve"> HYPERLINK \l "_Toc98147808" </w:instrText>
      </w:r>
      <w:r>
        <w:fldChar w:fldCharType="separate"/>
      </w:r>
      <w:r>
        <w:rPr>
          <w:rFonts w:hint="eastAsia" w:ascii="Calibri" w:hAnsi="Calibri" w:eastAsia="宋体"/>
          <w:sz w:val="21"/>
          <w:szCs w:val="22"/>
        </w:rPr>
        <w:t>一、 概述</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_Toc98147808 \h </w:instrText>
      </w:r>
      <w:r>
        <w:rPr>
          <w:rFonts w:hint="eastAsia" w:ascii="Calibri" w:hAnsi="Calibri" w:eastAsia="宋体"/>
          <w:sz w:val="21"/>
          <w:szCs w:val="22"/>
        </w:rPr>
        <w:fldChar w:fldCharType="separate"/>
      </w:r>
      <w:r>
        <w:rPr>
          <w:rFonts w:hint="eastAsia" w:ascii="Calibri" w:hAnsi="Calibri" w:eastAsia="宋体"/>
          <w:sz w:val="21"/>
          <w:szCs w:val="22"/>
        </w:rPr>
        <w:t>- 1 -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"_Toc98147809" </w:instrText>
      </w:r>
      <w:r>
        <w:fldChar w:fldCharType="separate"/>
      </w:r>
      <w:r>
        <w:rPr>
          <w:rFonts w:hint="eastAsia" w:ascii="Calibri" w:hAnsi="Calibri" w:eastAsia="宋体"/>
          <w:sz w:val="21"/>
          <w:szCs w:val="22"/>
        </w:rPr>
        <w:t>二、 引用标准</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_Toc98147809 \h </w:instrText>
      </w:r>
      <w:r>
        <w:rPr>
          <w:rFonts w:hint="eastAsia" w:ascii="Calibri" w:hAnsi="Calibri" w:eastAsia="宋体"/>
          <w:sz w:val="21"/>
          <w:szCs w:val="22"/>
        </w:rPr>
        <w:fldChar w:fldCharType="separate"/>
      </w:r>
      <w:r>
        <w:rPr>
          <w:rFonts w:hint="eastAsia" w:ascii="Calibri" w:hAnsi="Calibri" w:eastAsia="宋体"/>
          <w:sz w:val="21"/>
          <w:szCs w:val="22"/>
        </w:rPr>
        <w:t>- 1 -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"_Toc98147810" </w:instrText>
      </w:r>
      <w:r>
        <w:fldChar w:fldCharType="separate"/>
      </w:r>
      <w:r>
        <w:rPr>
          <w:rFonts w:hint="eastAsia" w:ascii="Calibri" w:hAnsi="Calibri" w:eastAsia="宋体"/>
          <w:sz w:val="21"/>
          <w:szCs w:val="22"/>
        </w:rPr>
        <w:t>三、 数据结构</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_Toc98147810 \h </w:instrText>
      </w:r>
      <w:r>
        <w:rPr>
          <w:rFonts w:hint="eastAsia" w:ascii="Calibri" w:hAnsi="Calibri" w:eastAsia="宋体"/>
          <w:sz w:val="21"/>
          <w:szCs w:val="22"/>
        </w:rPr>
        <w:fldChar w:fldCharType="separate"/>
      </w:r>
      <w:r>
        <w:rPr>
          <w:rFonts w:hint="eastAsia" w:ascii="Calibri" w:hAnsi="Calibri" w:eastAsia="宋体"/>
          <w:sz w:val="21"/>
          <w:szCs w:val="22"/>
        </w:rPr>
        <w:t>- 2 -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"_Toc98147811" </w:instrText>
      </w:r>
      <w:r>
        <w:fldChar w:fldCharType="separate"/>
      </w:r>
      <w:r>
        <w:rPr>
          <w:rFonts w:hint="eastAsia" w:ascii="Calibri" w:hAnsi="Calibri" w:eastAsia="宋体"/>
          <w:sz w:val="21"/>
          <w:szCs w:val="22"/>
        </w:rPr>
        <w:t>（一） 数据结构单元</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_Toc98147811 \h </w:instrText>
      </w:r>
      <w:r>
        <w:rPr>
          <w:rFonts w:hint="eastAsia" w:ascii="Calibri" w:hAnsi="Calibri" w:eastAsia="宋体"/>
          <w:sz w:val="21"/>
          <w:szCs w:val="22"/>
        </w:rPr>
        <w:fldChar w:fldCharType="separate"/>
      </w:r>
      <w:r>
        <w:rPr>
          <w:rFonts w:hint="eastAsia" w:ascii="Calibri" w:hAnsi="Calibri" w:eastAsia="宋体"/>
          <w:sz w:val="21"/>
          <w:szCs w:val="22"/>
        </w:rPr>
        <w:t>- 2 -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"_Toc98147812" </w:instrText>
      </w:r>
      <w:r>
        <w:fldChar w:fldCharType="separate"/>
      </w:r>
      <w:r>
        <w:rPr>
          <w:rFonts w:hint="eastAsia" w:ascii="Calibri" w:hAnsi="Calibri" w:eastAsia="宋体"/>
          <w:sz w:val="21"/>
          <w:szCs w:val="22"/>
        </w:rPr>
        <w:t>（二） 数据项格式</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_Toc98147812 \h </w:instrText>
      </w:r>
      <w:r>
        <w:rPr>
          <w:rFonts w:hint="eastAsia" w:ascii="Calibri" w:hAnsi="Calibri" w:eastAsia="宋体"/>
          <w:sz w:val="21"/>
          <w:szCs w:val="22"/>
        </w:rPr>
        <w:fldChar w:fldCharType="separate"/>
      </w:r>
      <w:r>
        <w:rPr>
          <w:rFonts w:hint="eastAsia" w:ascii="Calibri" w:hAnsi="Calibri" w:eastAsia="宋体"/>
          <w:sz w:val="21"/>
          <w:szCs w:val="22"/>
        </w:rPr>
        <w:t>- 2 -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"_Toc98147813" </w:instrText>
      </w:r>
      <w:r>
        <w:fldChar w:fldCharType="separate"/>
      </w:r>
      <w:r>
        <w:rPr>
          <w:rFonts w:hint="eastAsia" w:ascii="Calibri" w:hAnsi="Calibri" w:eastAsia="宋体"/>
          <w:sz w:val="21"/>
          <w:szCs w:val="22"/>
        </w:rPr>
        <w:t>（三） 数据结构目录</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_Toc98147813 \h </w:instrText>
      </w:r>
      <w:r>
        <w:rPr>
          <w:rFonts w:hint="eastAsia" w:ascii="Calibri" w:hAnsi="Calibri" w:eastAsia="宋体"/>
          <w:sz w:val="21"/>
          <w:szCs w:val="22"/>
        </w:rPr>
        <w:fldChar w:fldCharType="separate"/>
      </w:r>
      <w:r>
        <w:rPr>
          <w:rFonts w:hint="eastAsia" w:ascii="Calibri" w:hAnsi="Calibri" w:eastAsia="宋体"/>
          <w:sz w:val="21"/>
          <w:szCs w:val="22"/>
        </w:rPr>
        <w:t>- 4 -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"_Toc98147814" </w:instrText>
      </w:r>
      <w:r>
        <w:fldChar w:fldCharType="separate"/>
      </w:r>
      <w:r>
        <w:rPr>
          <w:rFonts w:hint="eastAsia" w:ascii="Calibri" w:hAnsi="Calibri" w:eastAsia="宋体"/>
          <w:sz w:val="21"/>
          <w:szCs w:val="22"/>
        </w:rPr>
        <w:t>四、 数据项描述</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_Toc98147814 \h </w:instrText>
      </w:r>
      <w:r>
        <w:rPr>
          <w:rFonts w:hint="eastAsia" w:ascii="Calibri" w:hAnsi="Calibri" w:eastAsia="宋体"/>
          <w:sz w:val="21"/>
          <w:szCs w:val="22"/>
        </w:rPr>
        <w:fldChar w:fldCharType="separate"/>
      </w:r>
      <w:r>
        <w:rPr>
          <w:rFonts w:hint="eastAsia" w:ascii="Calibri" w:hAnsi="Calibri" w:eastAsia="宋体"/>
          <w:sz w:val="21"/>
          <w:szCs w:val="22"/>
        </w:rPr>
        <w:t>- 12 -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"_Toc98147815" </w:instrText>
      </w:r>
      <w:r>
        <w:fldChar w:fldCharType="separate"/>
      </w:r>
      <w:r>
        <w:rPr>
          <w:rFonts w:hint="eastAsia" w:ascii="Calibri" w:hAnsi="Calibri" w:eastAsia="宋体"/>
          <w:sz w:val="21"/>
          <w:szCs w:val="22"/>
        </w:rPr>
        <w:t>（一） 公司治理</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_Toc98147815 \h </w:instrText>
      </w:r>
      <w:r>
        <w:rPr>
          <w:rFonts w:hint="eastAsia" w:ascii="Calibri" w:hAnsi="Calibri" w:eastAsia="宋体"/>
          <w:sz w:val="21"/>
          <w:szCs w:val="22"/>
        </w:rPr>
        <w:fldChar w:fldCharType="separate"/>
      </w:r>
      <w:r>
        <w:rPr>
          <w:rFonts w:hint="eastAsia" w:ascii="Calibri" w:hAnsi="Calibri" w:eastAsia="宋体"/>
          <w:sz w:val="21"/>
          <w:szCs w:val="22"/>
        </w:rPr>
        <w:t>- 12 -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"_Toc98147816" </w:instrText>
      </w:r>
      <w:r>
        <w:fldChar w:fldCharType="separate"/>
      </w:r>
      <w:r>
        <w:rPr>
          <w:rFonts w:hint="eastAsia" w:ascii="Calibri" w:hAnsi="Calibri" w:eastAsia="宋体"/>
          <w:sz w:val="21"/>
          <w:szCs w:val="22"/>
        </w:rPr>
        <w:t>（二） 公司财务</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_Toc98147816 \h </w:instrText>
      </w:r>
      <w:r>
        <w:rPr>
          <w:rFonts w:hint="eastAsia" w:ascii="Calibri" w:hAnsi="Calibri" w:eastAsia="宋体"/>
          <w:sz w:val="21"/>
          <w:szCs w:val="22"/>
        </w:rPr>
        <w:fldChar w:fldCharType="separate"/>
      </w:r>
      <w:r>
        <w:rPr>
          <w:rFonts w:hint="eastAsia" w:ascii="Calibri" w:hAnsi="Calibri" w:eastAsia="宋体"/>
          <w:sz w:val="21"/>
          <w:szCs w:val="22"/>
        </w:rPr>
        <w:t>- 40 -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"_Toc98147817" </w:instrText>
      </w:r>
      <w:r>
        <w:fldChar w:fldCharType="separate"/>
      </w:r>
      <w:r>
        <w:rPr>
          <w:rFonts w:hint="eastAsia" w:ascii="Calibri" w:hAnsi="Calibri" w:eastAsia="宋体"/>
          <w:sz w:val="21"/>
          <w:szCs w:val="22"/>
        </w:rPr>
        <w:t>（三） 保险集团（控股）公司业务</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_Toc98147817 \h </w:instrText>
      </w:r>
      <w:r>
        <w:rPr>
          <w:rFonts w:hint="eastAsia" w:ascii="Calibri" w:hAnsi="Calibri" w:eastAsia="宋体"/>
          <w:sz w:val="21"/>
          <w:szCs w:val="22"/>
        </w:rPr>
        <w:fldChar w:fldCharType="separate"/>
      </w:r>
      <w:r>
        <w:rPr>
          <w:rFonts w:hint="eastAsia" w:ascii="Calibri" w:hAnsi="Calibri" w:eastAsia="宋体"/>
          <w:sz w:val="21"/>
          <w:szCs w:val="22"/>
        </w:rPr>
        <w:t>- 58 -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"_Toc98147818" </w:instrText>
      </w:r>
      <w:r>
        <w:fldChar w:fldCharType="separate"/>
      </w:r>
      <w:r>
        <w:rPr>
          <w:rFonts w:hint="eastAsia" w:ascii="Calibri" w:hAnsi="Calibri" w:eastAsia="宋体"/>
          <w:sz w:val="21"/>
          <w:szCs w:val="22"/>
        </w:rPr>
        <w:t>（四） 保险集团（控股）公司关联交易</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_Toc98147818 \h </w:instrText>
      </w:r>
      <w:r>
        <w:rPr>
          <w:rFonts w:hint="eastAsia" w:ascii="Calibri" w:hAnsi="Calibri" w:eastAsia="宋体"/>
          <w:sz w:val="21"/>
          <w:szCs w:val="22"/>
        </w:rPr>
        <w:fldChar w:fldCharType="separate"/>
      </w:r>
      <w:r>
        <w:rPr>
          <w:rFonts w:hint="eastAsia" w:ascii="Calibri" w:hAnsi="Calibri" w:eastAsia="宋体"/>
          <w:sz w:val="21"/>
          <w:szCs w:val="22"/>
        </w:rPr>
        <w:t>- 98 -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"_Toc98147819" </w:instrText>
      </w:r>
      <w:r>
        <w:fldChar w:fldCharType="separate"/>
      </w:r>
      <w:r>
        <w:rPr>
          <w:rFonts w:hint="eastAsia" w:ascii="Calibri" w:hAnsi="Calibri" w:eastAsia="宋体"/>
          <w:sz w:val="21"/>
          <w:szCs w:val="22"/>
        </w:rPr>
        <w:t>（五） 风险管理</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_Toc98147819 \h </w:instrText>
      </w:r>
      <w:r>
        <w:rPr>
          <w:rFonts w:hint="eastAsia" w:ascii="Calibri" w:hAnsi="Calibri" w:eastAsia="宋体"/>
          <w:sz w:val="21"/>
          <w:szCs w:val="22"/>
        </w:rPr>
        <w:fldChar w:fldCharType="separate"/>
      </w:r>
      <w:r>
        <w:rPr>
          <w:rFonts w:hint="eastAsia" w:ascii="Calibri" w:hAnsi="Calibri" w:eastAsia="宋体"/>
          <w:sz w:val="21"/>
          <w:szCs w:val="22"/>
        </w:rPr>
        <w:t>- 109 -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"_Toc98147820" </w:instrText>
      </w:r>
      <w:r>
        <w:fldChar w:fldCharType="separate"/>
      </w:r>
      <w:r>
        <w:rPr>
          <w:rFonts w:hint="eastAsia" w:ascii="Calibri" w:hAnsi="Calibri" w:eastAsia="宋体"/>
          <w:sz w:val="21"/>
          <w:szCs w:val="22"/>
        </w:rPr>
        <w:t>五、 数据元说明</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_Toc98147820 \h </w:instrText>
      </w:r>
      <w:r>
        <w:rPr>
          <w:rFonts w:hint="eastAsia" w:ascii="Calibri" w:hAnsi="Calibri" w:eastAsia="宋体"/>
          <w:sz w:val="21"/>
          <w:szCs w:val="22"/>
        </w:rPr>
        <w:fldChar w:fldCharType="separate"/>
      </w:r>
      <w:r>
        <w:rPr>
          <w:rFonts w:hint="eastAsia" w:ascii="Calibri" w:hAnsi="Calibri" w:eastAsia="宋体"/>
          <w:sz w:val="21"/>
          <w:szCs w:val="22"/>
        </w:rPr>
        <w:t>- 111 -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"_Toc98147821" </w:instrText>
      </w:r>
      <w:r>
        <w:fldChar w:fldCharType="separate"/>
      </w:r>
      <w:r>
        <w:rPr>
          <w:rFonts w:hint="eastAsia" w:ascii="Calibri" w:hAnsi="Calibri" w:eastAsia="宋体"/>
          <w:sz w:val="21"/>
          <w:szCs w:val="22"/>
        </w:rPr>
        <w:t>（一） 数据元描述规则</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_Toc98147821 \h </w:instrText>
      </w:r>
      <w:r>
        <w:rPr>
          <w:rFonts w:hint="eastAsia" w:ascii="Calibri" w:hAnsi="Calibri" w:eastAsia="宋体"/>
          <w:sz w:val="21"/>
          <w:szCs w:val="22"/>
        </w:rPr>
        <w:fldChar w:fldCharType="separate"/>
      </w:r>
      <w:r>
        <w:rPr>
          <w:rFonts w:hint="eastAsia" w:ascii="Calibri" w:hAnsi="Calibri" w:eastAsia="宋体"/>
          <w:sz w:val="21"/>
          <w:szCs w:val="22"/>
        </w:rPr>
        <w:t>- 111 -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rPr>
          <w:rFonts w:ascii="Calibri" w:hAnsi="Calibri" w:eastAsia="宋体"/>
          <w:sz w:val="21"/>
          <w:szCs w:val="22"/>
        </w:rPr>
      </w:pPr>
      <w:r>
        <w:fldChar w:fldCharType="begin"/>
      </w:r>
      <w:r>
        <w:instrText xml:space="preserve"> HYPERLINK \l "_Toc98147822" </w:instrText>
      </w:r>
      <w:r>
        <w:fldChar w:fldCharType="separate"/>
      </w:r>
      <w:r>
        <w:rPr>
          <w:rFonts w:hint="eastAsia" w:ascii="Calibri" w:hAnsi="Calibri" w:eastAsia="宋体"/>
          <w:sz w:val="21"/>
          <w:szCs w:val="22"/>
        </w:rPr>
        <w:t>（二） 数据元细目</w:t>
      </w:r>
      <w:r>
        <w:rPr>
          <w:rFonts w:hint="eastAsia" w:ascii="Calibri" w:hAnsi="Calibri" w:eastAsia="宋体"/>
          <w:sz w:val="21"/>
          <w:szCs w:val="22"/>
        </w:rPr>
        <w:tab/>
      </w:r>
      <w:r>
        <w:rPr>
          <w:rFonts w:hint="eastAsia" w:ascii="Calibri" w:hAnsi="Calibri" w:eastAsia="宋体"/>
          <w:sz w:val="21"/>
          <w:szCs w:val="22"/>
        </w:rPr>
        <w:fldChar w:fldCharType="begin"/>
      </w:r>
      <w:r>
        <w:rPr>
          <w:rFonts w:hint="eastAsia" w:ascii="Calibri" w:hAnsi="Calibri" w:eastAsia="宋体"/>
          <w:sz w:val="21"/>
          <w:szCs w:val="22"/>
        </w:rPr>
        <w:instrText xml:space="preserve"> PAGEREF _Toc98147822 \h </w:instrText>
      </w:r>
      <w:r>
        <w:rPr>
          <w:rFonts w:hint="eastAsia" w:ascii="Calibri" w:hAnsi="Calibri" w:eastAsia="宋体"/>
          <w:sz w:val="21"/>
          <w:szCs w:val="22"/>
        </w:rPr>
        <w:fldChar w:fldCharType="separate"/>
      </w:r>
      <w:r>
        <w:rPr>
          <w:rFonts w:hint="eastAsia" w:ascii="Calibri" w:hAnsi="Calibri" w:eastAsia="宋体"/>
          <w:sz w:val="21"/>
          <w:szCs w:val="22"/>
        </w:rPr>
        <w:t>- 112 -</w:t>
      </w:r>
      <w:r>
        <w:rPr>
          <w:rFonts w:hint="eastAsia" w:ascii="Calibri" w:hAnsi="Calibri" w:eastAsia="宋体"/>
          <w:sz w:val="21"/>
          <w:szCs w:val="22"/>
        </w:rPr>
        <w:fldChar w:fldCharType="end"/>
      </w:r>
      <w:r>
        <w:rPr>
          <w:rFonts w:hint="eastAsia" w:ascii="Calibri" w:hAnsi="Calibri" w:eastAsia="宋体"/>
          <w:sz w:val="21"/>
          <w:szCs w:val="22"/>
        </w:rPr>
        <w:fldChar w:fldCharType="end"/>
      </w:r>
    </w:p>
    <w:p>
      <w:pPr>
        <w:pStyle w:val="12"/>
        <w:tabs>
          <w:tab w:val="right" w:leader="dot" w:pos="8306"/>
        </w:tabs>
        <w:spacing w:line="240" w:lineRule="auto"/>
        <w:ind w:left="1200" w:leftChars="400" w:firstLine="0" w:firstLineChars="0"/>
        <w:jc w:val="both"/>
      </w:pPr>
      <w:r>
        <w:rPr>
          <w:rFonts w:hint="eastAsia" w:ascii="Calibri" w:hAnsi="Calibri" w:eastAsia="宋体"/>
          <w:sz w:val="21"/>
          <w:szCs w:val="22"/>
        </w:rPr>
        <w:fldChar w:fldCharType="end"/>
      </w:r>
    </w:p>
    <w:p>
      <w:pPr>
        <w:ind w:firstLine="0" w:firstLineChars="0"/>
        <w:jc w:val="center"/>
        <w:rPr>
          <w:rFonts w:ascii="宋体" w:hAnsi="宋体" w:eastAsia="宋体" w:cs="黑体"/>
          <w:color w:val="000000" w:themeColor="text1"/>
          <w:sz w:val="21"/>
          <w:szCs w:val="24"/>
          <w14:textFill>
            <w14:solidFill>
              <w14:schemeClr w14:val="tx1"/>
            </w14:solidFill>
          </w14:textFill>
        </w:rPr>
      </w:pPr>
    </w:p>
    <w:p>
      <w:pPr>
        <w:ind w:firstLine="0" w:firstLineChars="0"/>
        <w:jc w:val="center"/>
        <w:rPr>
          <w:rFonts w:ascii="宋体" w:hAnsi="宋体" w:eastAsia="宋体" w:cs="黑体"/>
          <w:color w:val="000000" w:themeColor="text1"/>
          <w:sz w:val="21"/>
          <w:szCs w:val="24"/>
          <w14:textFill>
            <w14:solidFill>
              <w14:schemeClr w14:val="tx1"/>
            </w14:solidFill>
          </w14:textFill>
        </w:rPr>
        <w:sectPr>
          <w:footerReference r:id="rId11" w:type="default"/>
          <w:pgSz w:w="11906" w:h="16838"/>
          <w:pgMar w:top="2154" w:right="1474" w:bottom="1984" w:left="1588" w:header="851" w:footer="1021" w:gutter="0"/>
          <w:pgNumType w:fmt="numberInDash" w:start="1"/>
          <w:cols w:space="720" w:num="1"/>
          <w:docGrid w:type="lines" w:linePitch="312" w:charSpace="0"/>
        </w:sectPr>
      </w:pPr>
    </w:p>
    <w:p>
      <w:pPr>
        <w:keepNext/>
        <w:keepLines/>
        <w:numPr>
          <w:ilvl w:val="0"/>
          <w:numId w:val="1"/>
        </w:numPr>
        <w:ind w:left="0" w:firstLine="600" w:firstLineChars="0"/>
        <w:outlineLvl w:val="0"/>
        <w:rPr>
          <w:rFonts w:ascii="黑体" w:hAnsi="黑体" w:eastAsia="黑体"/>
          <w:kern w:val="44"/>
          <w:szCs w:val="30"/>
        </w:rPr>
      </w:pPr>
      <w:bookmarkStart w:id="0" w:name="_Toc7430"/>
      <w:bookmarkStart w:id="1" w:name="_Toc21521"/>
      <w:bookmarkStart w:id="2" w:name="_Toc7476"/>
      <w:bookmarkStart w:id="3" w:name="_Toc98147808"/>
      <w:bookmarkStart w:id="4" w:name="_Toc8288"/>
      <w:bookmarkStart w:id="5" w:name="_Toc73958554"/>
      <w:bookmarkStart w:id="6" w:name="_Toc16126"/>
      <w:bookmarkStart w:id="7" w:name="_Toc26827"/>
      <w:bookmarkStart w:id="8" w:name="_Toc14403"/>
      <w:bookmarkStart w:id="9" w:name="_Toc12197"/>
      <w:r>
        <w:rPr>
          <w:rFonts w:hint="eastAsia" w:ascii="黑体" w:hAnsi="黑体" w:eastAsia="黑体"/>
          <w:kern w:val="44"/>
          <w:szCs w:val="30"/>
        </w:rPr>
        <w:t>概述</w:t>
      </w:r>
      <w:bookmarkEnd w:id="0"/>
      <w:bookmarkEnd w:id="1"/>
      <w:bookmarkEnd w:id="2"/>
      <w:bookmarkEnd w:id="3"/>
      <w:bookmarkEnd w:id="4"/>
      <w:bookmarkEnd w:id="5"/>
      <w:bookmarkEnd w:id="6"/>
      <w:bookmarkEnd w:id="7"/>
      <w:bookmarkEnd w:id="8"/>
      <w:bookmarkEnd w:id="9"/>
    </w:p>
    <w:p>
      <w:pPr>
        <w:ind w:firstLine="600"/>
        <w:rPr>
          <w:rFonts w:ascii="仿宋" w:hAnsi="仿宋" w:eastAsia="仿宋" w:cs="仿宋_GB2312"/>
          <w:color w:val="000000" w:themeColor="text1"/>
          <w:szCs w:val="30"/>
          <w14:textFill>
            <w14:solidFill>
              <w14:schemeClr w14:val="tx1"/>
            </w14:solidFill>
          </w14:textFill>
        </w:rPr>
      </w:pPr>
      <w:r>
        <w:rPr>
          <w:rFonts w:hint="eastAsia" w:ascii="仿宋" w:hAnsi="仿宋" w:eastAsia="仿宋" w:cs="仿宋_GB2312"/>
          <w:color w:val="000000" w:themeColor="text1"/>
          <w:szCs w:val="30"/>
          <w14:textFill>
            <w14:solidFill>
              <w14:schemeClr w14:val="tx1"/>
            </w14:solidFill>
          </w14:textFill>
        </w:rPr>
        <w:t>《中国银保监会保险业监管数据标准化规范》〔保险集团（控股）公司版〕（以下简称《规范》）立足于保险集团（控股）公司监管工作需要，遵循监管数据标准化的工作惯例和工作要求，将保险集团（控股）公司数据结构映射成统一的标准化监管数据格式，以便于数据采集、分析、挖掘。《规范》包括</w:t>
      </w:r>
      <w:r>
        <w:rPr>
          <w:rFonts w:hint="eastAsia" w:ascii="仿宋" w:hAnsi="仿宋" w:eastAsia="仿宋" w:cs="仿宋_GB2312"/>
          <w:bCs/>
          <w:szCs w:val="30"/>
        </w:rPr>
        <w:t>公司治理、公司财务、</w:t>
      </w:r>
      <w:r>
        <w:rPr>
          <w:rFonts w:hint="eastAsia" w:ascii="仿宋" w:hAnsi="仿宋" w:eastAsia="仿宋" w:cs="仿宋_GB2312"/>
          <w:color w:val="000000" w:themeColor="text1"/>
          <w:szCs w:val="30"/>
          <w14:textFill>
            <w14:solidFill>
              <w14:schemeClr w14:val="tx1"/>
            </w14:solidFill>
          </w14:textFill>
        </w:rPr>
        <w:t>保险集团（控股）</w:t>
      </w:r>
      <w:r>
        <w:rPr>
          <w:rFonts w:hint="eastAsia" w:ascii="仿宋" w:hAnsi="仿宋" w:eastAsia="仿宋" w:cs="仿宋_GB2312"/>
          <w:bCs/>
          <w:szCs w:val="30"/>
        </w:rPr>
        <w:t>公司业务、</w:t>
      </w:r>
      <w:r>
        <w:rPr>
          <w:rFonts w:hint="eastAsia" w:ascii="仿宋" w:hAnsi="仿宋" w:eastAsia="仿宋" w:cs="仿宋_GB2312"/>
          <w:color w:val="000000" w:themeColor="text1"/>
          <w:szCs w:val="30"/>
          <w14:textFill>
            <w14:solidFill>
              <w14:schemeClr w14:val="tx1"/>
            </w14:solidFill>
          </w14:textFill>
        </w:rPr>
        <w:t>保险集团（控股）</w:t>
      </w:r>
      <w:r>
        <w:rPr>
          <w:rFonts w:hint="eastAsia" w:ascii="仿宋" w:hAnsi="仿宋" w:eastAsia="仿宋" w:cs="仿宋_GB2312"/>
          <w:bCs/>
          <w:szCs w:val="30"/>
        </w:rPr>
        <w:t>公司关联交易、风险管理等五个主题域</w:t>
      </w:r>
      <w:r>
        <w:rPr>
          <w:rFonts w:hint="eastAsia" w:ascii="仿宋" w:hAnsi="仿宋" w:eastAsia="仿宋" w:cs="仿宋_GB2312"/>
          <w:color w:val="000000" w:themeColor="text1"/>
          <w:szCs w:val="30"/>
          <w14:textFill>
            <w14:solidFill>
              <w14:schemeClr w14:val="tx1"/>
            </w14:solidFill>
          </w14:textFill>
        </w:rPr>
        <w:t>，</w:t>
      </w:r>
      <w:r>
        <w:rPr>
          <w:rFonts w:hint="eastAsia" w:ascii="仿宋" w:hAnsi="仿宋" w:eastAsia="仿宋" w:cs="仿宋_GB2312"/>
          <w:bCs/>
          <w:szCs w:val="30"/>
        </w:rPr>
        <w:t>基本覆盖了保险集团（控股）公司有关业务范围，并在架构设计上预留了扩展空间。</w:t>
      </w:r>
    </w:p>
    <w:p>
      <w:pPr>
        <w:ind w:firstLine="600"/>
        <w:rPr>
          <w:rFonts w:ascii="仿宋" w:hAnsi="仿宋" w:eastAsia="仿宋" w:cs="仿宋_GB2312"/>
          <w:bCs/>
          <w:szCs w:val="30"/>
        </w:rPr>
      </w:pPr>
      <w:r>
        <w:rPr>
          <w:rFonts w:hint="eastAsia" w:ascii="仿宋" w:hAnsi="仿宋" w:eastAsia="仿宋" w:cs="仿宋_GB2312"/>
          <w:bCs/>
          <w:szCs w:val="30"/>
        </w:rPr>
        <w:t>本《规范》适用于在中华人民共和国境内依法设立的保险集团（控股）公司。</w:t>
      </w:r>
    </w:p>
    <w:p>
      <w:pPr>
        <w:keepNext/>
        <w:keepLines/>
        <w:numPr>
          <w:ilvl w:val="0"/>
          <w:numId w:val="1"/>
        </w:numPr>
        <w:ind w:left="0" w:firstLine="600" w:firstLineChars="0"/>
        <w:outlineLvl w:val="0"/>
        <w:rPr>
          <w:rFonts w:ascii="黑体" w:hAnsi="黑体" w:eastAsia="黑体"/>
          <w:kern w:val="44"/>
          <w:szCs w:val="30"/>
        </w:rPr>
      </w:pPr>
      <w:bookmarkStart w:id="10" w:name="_Toc98147809"/>
      <w:bookmarkStart w:id="11" w:name="_Toc21950"/>
      <w:bookmarkStart w:id="12" w:name="_Toc73958555"/>
      <w:bookmarkStart w:id="13" w:name="_Toc4305"/>
      <w:bookmarkStart w:id="14" w:name="_Toc5836"/>
      <w:bookmarkStart w:id="15" w:name="_Toc15152"/>
      <w:bookmarkStart w:id="16" w:name="_Toc22528"/>
      <w:bookmarkStart w:id="17" w:name="_Toc28004"/>
      <w:bookmarkStart w:id="18" w:name="_Toc15844"/>
      <w:bookmarkStart w:id="19" w:name="_Toc7696"/>
      <w:r>
        <w:rPr>
          <w:rFonts w:hint="eastAsia" w:ascii="黑体" w:hAnsi="黑体" w:eastAsia="黑体"/>
          <w:kern w:val="44"/>
          <w:szCs w:val="30"/>
        </w:rPr>
        <w:t>引用标准</w:t>
      </w:r>
      <w:bookmarkEnd w:id="10"/>
      <w:bookmarkEnd w:id="11"/>
      <w:bookmarkEnd w:id="12"/>
      <w:bookmarkEnd w:id="13"/>
      <w:bookmarkEnd w:id="14"/>
      <w:bookmarkEnd w:id="15"/>
      <w:bookmarkEnd w:id="16"/>
      <w:bookmarkEnd w:id="17"/>
      <w:bookmarkEnd w:id="18"/>
      <w:bookmarkEnd w:id="19"/>
    </w:p>
    <w:p>
      <w:pPr>
        <w:ind w:firstLine="600"/>
        <w:rPr>
          <w:rFonts w:ascii="仿宋" w:hAnsi="仿宋" w:eastAsia="仿宋" w:cs="仿宋_GB2312"/>
          <w:szCs w:val="30"/>
        </w:rPr>
      </w:pPr>
      <w:r>
        <w:rPr>
          <w:rFonts w:hint="eastAsia" w:ascii="仿宋" w:hAnsi="仿宋" w:eastAsia="仿宋" w:cs="仿宋_GB2312"/>
          <w:szCs w:val="30"/>
        </w:rPr>
        <w:t>下列标准中的条款通过本规范的引用而成为本规范的条款，凡是不注日期的引用文件，其最新版本适用于本规范。</w:t>
      </w:r>
    </w:p>
    <w:p>
      <w:pPr>
        <w:ind w:firstLine="600"/>
        <w:rPr>
          <w:rFonts w:ascii="仿宋" w:hAnsi="仿宋" w:eastAsia="仿宋" w:cs="仿宋_GB2312"/>
          <w:szCs w:val="30"/>
        </w:rPr>
      </w:pPr>
      <w:r>
        <w:rPr>
          <w:rFonts w:ascii="仿宋" w:hAnsi="仿宋" w:eastAsia="仿宋" w:cs="仿宋_GB2312"/>
          <w:szCs w:val="30"/>
        </w:rPr>
        <w:t>ISO/IEC 10646 Information Technology -- Universal Coded Character Set (UCS)</w:t>
      </w:r>
    </w:p>
    <w:p>
      <w:pPr>
        <w:ind w:firstLine="600"/>
        <w:rPr>
          <w:rFonts w:ascii="仿宋" w:hAnsi="仿宋" w:eastAsia="仿宋" w:cs="仿宋_GB2312"/>
          <w:szCs w:val="30"/>
        </w:rPr>
      </w:pPr>
      <w:r>
        <w:rPr>
          <w:rFonts w:ascii="仿宋" w:hAnsi="仿宋" w:eastAsia="仿宋" w:cs="仿宋_GB2312"/>
          <w:szCs w:val="30"/>
        </w:rPr>
        <w:t>GB 32100-2015 法人和其他组织统一社会信用代码编码规则</w:t>
      </w:r>
    </w:p>
    <w:p>
      <w:pPr>
        <w:ind w:firstLine="600"/>
        <w:rPr>
          <w:rFonts w:ascii="仿宋" w:hAnsi="仿宋" w:eastAsia="仿宋" w:cs="仿宋_GB2312"/>
          <w:szCs w:val="30"/>
        </w:rPr>
      </w:pPr>
      <w:r>
        <w:rPr>
          <w:rFonts w:ascii="仿宋" w:hAnsi="仿宋" w:eastAsia="仿宋" w:cs="仿宋_GB2312"/>
          <w:szCs w:val="30"/>
        </w:rPr>
        <w:t>GB 11714-1997 全国组织机构代码编制规则</w:t>
      </w:r>
    </w:p>
    <w:p>
      <w:pPr>
        <w:ind w:firstLine="600"/>
        <w:rPr>
          <w:rFonts w:ascii="仿宋" w:hAnsi="仿宋" w:eastAsia="仿宋" w:cs="仿宋_GB2312"/>
          <w:szCs w:val="30"/>
        </w:rPr>
      </w:pPr>
      <w:r>
        <w:rPr>
          <w:rFonts w:ascii="仿宋" w:hAnsi="仿宋" w:eastAsia="仿宋" w:cs="仿宋_GB2312"/>
          <w:szCs w:val="30"/>
        </w:rPr>
        <w:t>GB 11643-1999 公民身份号码</w:t>
      </w:r>
    </w:p>
    <w:p>
      <w:pPr>
        <w:ind w:firstLine="600"/>
        <w:rPr>
          <w:rFonts w:ascii="仿宋" w:hAnsi="仿宋" w:eastAsia="仿宋" w:cs="仿宋_GB2312"/>
          <w:szCs w:val="30"/>
        </w:rPr>
      </w:pPr>
      <w:r>
        <w:rPr>
          <w:rFonts w:ascii="仿宋" w:hAnsi="仿宋" w:eastAsia="仿宋" w:cs="仿宋_GB2312"/>
          <w:szCs w:val="30"/>
        </w:rPr>
        <w:t>GB/T 4754 国民经济行业分类</w:t>
      </w:r>
    </w:p>
    <w:p>
      <w:pPr>
        <w:ind w:firstLine="600"/>
        <w:rPr>
          <w:rFonts w:ascii="仿宋" w:hAnsi="仿宋" w:eastAsia="仿宋" w:cs="仿宋_GB2312"/>
          <w:szCs w:val="30"/>
        </w:rPr>
      </w:pPr>
      <w:r>
        <w:rPr>
          <w:rFonts w:ascii="仿宋" w:hAnsi="仿宋" w:eastAsia="仿宋" w:cs="仿宋_GB2312"/>
          <w:szCs w:val="30"/>
        </w:rPr>
        <w:t>GB/T 12406-2008 表示货币和资金的代码（ISO 4217:2001，IDT）</w:t>
      </w:r>
    </w:p>
    <w:p>
      <w:pPr>
        <w:ind w:firstLine="600"/>
        <w:rPr>
          <w:rFonts w:ascii="仿宋" w:hAnsi="仿宋" w:eastAsia="仿宋" w:cs="仿宋_GB2312"/>
          <w:szCs w:val="30"/>
        </w:rPr>
      </w:pPr>
      <w:r>
        <w:rPr>
          <w:rFonts w:ascii="仿宋" w:hAnsi="仿宋" w:eastAsia="仿宋" w:cs="仿宋_GB2312"/>
          <w:szCs w:val="30"/>
        </w:rPr>
        <w:t>GB/T 2659-2000 世界各国和地区名称代码</w:t>
      </w:r>
    </w:p>
    <w:p>
      <w:pPr>
        <w:ind w:firstLine="600"/>
        <w:rPr>
          <w:rFonts w:ascii="仿宋" w:hAnsi="仿宋" w:eastAsia="仿宋" w:cs="仿宋_GB2312"/>
          <w:szCs w:val="30"/>
        </w:rPr>
      </w:pPr>
      <w:r>
        <w:rPr>
          <w:rFonts w:ascii="仿宋" w:hAnsi="仿宋" w:eastAsia="仿宋" w:cs="仿宋_GB2312"/>
          <w:szCs w:val="30"/>
        </w:rPr>
        <w:t>GB/T 2260-2017 中华人民共和国行政区划代码</w:t>
      </w:r>
    </w:p>
    <w:p>
      <w:pPr>
        <w:ind w:firstLine="600"/>
        <w:rPr>
          <w:rFonts w:ascii="仿宋" w:hAnsi="仿宋" w:eastAsia="仿宋" w:cs="仿宋_GB2312"/>
          <w:szCs w:val="30"/>
        </w:rPr>
      </w:pPr>
      <w:r>
        <w:rPr>
          <w:rFonts w:ascii="仿宋" w:hAnsi="仿宋" w:eastAsia="仿宋" w:cs="仿宋_GB2312"/>
          <w:szCs w:val="30"/>
        </w:rPr>
        <w:t>GB/T 3304-1991 中国各民族名称的罗马字母拼写法和代码</w:t>
      </w:r>
    </w:p>
    <w:p>
      <w:pPr>
        <w:ind w:firstLine="600"/>
        <w:rPr>
          <w:rFonts w:ascii="仿宋" w:hAnsi="仿宋" w:eastAsia="仿宋" w:cs="仿宋_GB2312"/>
          <w:szCs w:val="30"/>
        </w:rPr>
      </w:pPr>
      <w:bookmarkStart w:id="20" w:name="_Hlk91772638"/>
      <w:r>
        <w:rPr>
          <w:rFonts w:ascii="仿宋" w:hAnsi="仿宋" w:eastAsia="仿宋" w:cs="仿宋_GB2312"/>
          <w:szCs w:val="30"/>
        </w:rPr>
        <w:t>GB/T 4658-2006 学历代码</w:t>
      </w:r>
    </w:p>
    <w:p>
      <w:pPr>
        <w:ind w:firstLine="600"/>
        <w:rPr>
          <w:rFonts w:ascii="仿宋" w:hAnsi="仿宋" w:eastAsia="仿宋" w:cs="仿宋_GB2312"/>
          <w:szCs w:val="30"/>
        </w:rPr>
      </w:pPr>
      <w:r>
        <w:rPr>
          <w:rFonts w:ascii="仿宋" w:hAnsi="仿宋" w:eastAsia="仿宋" w:cs="仿宋_GB2312"/>
          <w:szCs w:val="30"/>
        </w:rPr>
        <w:t xml:space="preserve">GB/T 4762-1984 </w:t>
      </w:r>
      <w:r>
        <w:rPr>
          <w:rFonts w:hint="eastAsia" w:ascii="仿宋" w:hAnsi="仿宋" w:eastAsia="仿宋" w:cs="仿宋_GB2312"/>
          <w:szCs w:val="30"/>
        </w:rPr>
        <w:t>政治面貌代码</w:t>
      </w:r>
    </w:p>
    <w:bookmarkEnd w:id="20"/>
    <w:p>
      <w:pPr>
        <w:ind w:firstLine="640"/>
        <w:rPr>
          <w:rFonts w:ascii="仿宋" w:hAnsi="仿宋" w:eastAsia="仿宋" w:cs="仿宋_GB2312"/>
          <w:sz w:val="32"/>
          <w:szCs w:val="32"/>
        </w:rPr>
      </w:pPr>
    </w:p>
    <w:p>
      <w:pPr>
        <w:keepNext/>
        <w:keepLines/>
        <w:numPr>
          <w:ilvl w:val="0"/>
          <w:numId w:val="1"/>
        </w:numPr>
        <w:ind w:left="0" w:firstLine="600" w:firstLineChars="0"/>
        <w:outlineLvl w:val="0"/>
        <w:rPr>
          <w:rFonts w:ascii="黑体" w:hAnsi="黑体" w:eastAsia="黑体"/>
          <w:kern w:val="44"/>
          <w:szCs w:val="30"/>
        </w:rPr>
      </w:pPr>
      <w:bookmarkStart w:id="21" w:name="_Toc73958556"/>
      <w:bookmarkStart w:id="22" w:name="_Toc1167"/>
      <w:bookmarkStart w:id="23" w:name="_Toc26217"/>
      <w:bookmarkStart w:id="24" w:name="_Toc98147810"/>
      <w:bookmarkStart w:id="25" w:name="_Toc29570"/>
      <w:bookmarkStart w:id="26" w:name="_Toc14671"/>
      <w:bookmarkStart w:id="27" w:name="_Toc31360"/>
      <w:bookmarkStart w:id="28" w:name="_Toc18845"/>
      <w:bookmarkStart w:id="29" w:name="_Toc817"/>
      <w:bookmarkStart w:id="30" w:name="_Toc32761"/>
      <w:r>
        <w:rPr>
          <w:rFonts w:hint="eastAsia" w:ascii="黑体" w:hAnsi="黑体" w:eastAsia="黑体"/>
          <w:kern w:val="44"/>
          <w:szCs w:val="30"/>
        </w:rPr>
        <w:t>数据结构</w:t>
      </w:r>
      <w:bookmarkEnd w:id="21"/>
      <w:bookmarkEnd w:id="22"/>
      <w:bookmarkEnd w:id="23"/>
      <w:bookmarkEnd w:id="24"/>
      <w:bookmarkEnd w:id="25"/>
      <w:bookmarkEnd w:id="26"/>
      <w:bookmarkEnd w:id="27"/>
      <w:bookmarkEnd w:id="28"/>
      <w:bookmarkEnd w:id="29"/>
      <w:bookmarkEnd w:id="30"/>
    </w:p>
    <w:p>
      <w:pPr>
        <w:keepNext/>
        <w:keepLines/>
        <w:numPr>
          <w:ilvl w:val="0"/>
          <w:numId w:val="5"/>
        </w:numPr>
        <w:ind w:left="0" w:firstLine="602" w:firstLineChars="0"/>
        <w:outlineLvl w:val="1"/>
        <w:rPr>
          <w:rFonts w:ascii="Arial" w:hAnsi="Arial" w:eastAsia="楷体"/>
          <w:b/>
          <w:szCs w:val="30"/>
        </w:rPr>
      </w:pPr>
      <w:bookmarkStart w:id="31" w:name="_Toc9427"/>
      <w:bookmarkStart w:id="32" w:name="_Toc73958557"/>
      <w:bookmarkStart w:id="33" w:name="_Toc14876"/>
      <w:bookmarkStart w:id="34" w:name="_Toc23384"/>
      <w:bookmarkStart w:id="35" w:name="_Toc4741"/>
      <w:bookmarkStart w:id="36" w:name="_Toc31468"/>
      <w:bookmarkStart w:id="37" w:name="_Toc98147811"/>
      <w:bookmarkStart w:id="38" w:name="_Toc31559"/>
      <w:bookmarkStart w:id="39" w:name="_Toc13047"/>
      <w:bookmarkStart w:id="40" w:name="_Toc13467"/>
      <w:r>
        <w:rPr>
          <w:rFonts w:hint="eastAsia" w:ascii="Arial" w:hAnsi="Arial" w:eastAsia="楷体"/>
          <w:b/>
          <w:szCs w:val="30"/>
        </w:rPr>
        <w:t>数据结构单元</w:t>
      </w:r>
      <w:bookmarkEnd w:id="31"/>
      <w:bookmarkEnd w:id="32"/>
      <w:bookmarkEnd w:id="33"/>
      <w:bookmarkEnd w:id="34"/>
      <w:bookmarkEnd w:id="35"/>
      <w:bookmarkEnd w:id="36"/>
      <w:bookmarkEnd w:id="37"/>
      <w:bookmarkEnd w:id="38"/>
      <w:bookmarkEnd w:id="39"/>
      <w:bookmarkEnd w:id="40"/>
    </w:p>
    <w:p>
      <w:pPr>
        <w:ind w:firstLine="600"/>
        <w:rPr>
          <w:rFonts w:ascii="仿宋" w:hAnsi="仿宋" w:eastAsia="仿宋"/>
          <w:szCs w:val="30"/>
        </w:rPr>
      </w:pPr>
      <w:r>
        <w:rPr>
          <w:rFonts w:hint="eastAsia" w:ascii="仿宋" w:hAnsi="仿宋" w:eastAsia="仿宋"/>
          <w:szCs w:val="30"/>
        </w:rPr>
        <w:t>规范内容的结构单元如下表所示：</w:t>
      </w:r>
    </w:p>
    <w:tbl>
      <w:tblPr>
        <w:tblStyle w:val="25"/>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809" w:type="dxa"/>
            <w:shd w:val="clear" w:color="auto" w:fill="D8D8D8" w:themeFill="background1" w:themeFillShade="D9"/>
            <w:vAlign w:val="center"/>
          </w:tcPr>
          <w:p>
            <w:pPr>
              <w:spacing w:line="288" w:lineRule="auto"/>
              <w:ind w:firstLine="0" w:firstLineChars="0"/>
              <w:jc w:val="center"/>
              <w:rPr>
                <w:rFonts w:ascii="宋体" w:hAnsi="宋体" w:eastAsia="宋体" w:cstheme="minorEastAsia"/>
                <w:b/>
                <w:bCs/>
                <w:color w:val="000000" w:themeColor="text1"/>
                <w:sz w:val="21"/>
                <w:szCs w:val="21"/>
                <w14:textFill>
                  <w14:solidFill>
                    <w14:schemeClr w14:val="tx1"/>
                  </w14:solidFill>
                </w14:textFill>
              </w:rPr>
            </w:pPr>
            <w:r>
              <w:rPr>
                <w:rFonts w:hint="eastAsia" w:ascii="宋体" w:hAnsi="宋体" w:eastAsia="宋体" w:cstheme="minorEastAsia"/>
                <w:b/>
                <w:bCs/>
                <w:color w:val="000000" w:themeColor="text1"/>
                <w:sz w:val="21"/>
                <w:szCs w:val="21"/>
                <w14:textFill>
                  <w14:solidFill>
                    <w14:schemeClr w14:val="tx1"/>
                  </w14:solidFill>
                </w14:textFill>
              </w:rPr>
              <w:t>结构单元</w:t>
            </w:r>
          </w:p>
        </w:tc>
        <w:tc>
          <w:tcPr>
            <w:tcW w:w="6816" w:type="dxa"/>
            <w:shd w:val="clear" w:color="auto" w:fill="D8D8D8" w:themeFill="background1" w:themeFillShade="D9"/>
            <w:vAlign w:val="center"/>
          </w:tcPr>
          <w:p>
            <w:pPr>
              <w:spacing w:line="288" w:lineRule="auto"/>
              <w:ind w:firstLine="0" w:firstLineChars="0"/>
              <w:jc w:val="center"/>
              <w:rPr>
                <w:rFonts w:ascii="宋体" w:hAnsi="宋体" w:eastAsia="宋体" w:cstheme="minorEastAsia"/>
                <w:b/>
                <w:bCs/>
                <w:color w:val="000000" w:themeColor="text1"/>
                <w:sz w:val="21"/>
                <w:szCs w:val="21"/>
                <w14:textFill>
                  <w14:solidFill>
                    <w14:schemeClr w14:val="tx1"/>
                  </w14:solidFill>
                </w14:textFill>
              </w:rPr>
            </w:pPr>
            <w:r>
              <w:rPr>
                <w:rFonts w:hint="eastAsia" w:ascii="宋体" w:hAnsi="宋体" w:eastAsia="宋体" w:cstheme="minorEastAsia"/>
                <w:b/>
                <w:bCs/>
                <w:color w:val="000000" w:themeColor="text1"/>
                <w:sz w:val="21"/>
                <w:szCs w:val="21"/>
                <w14:textFill>
                  <w14:solidFill>
                    <w14:schemeClr w14:val="tx1"/>
                  </w14:solidFill>
                </w14:textFill>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主题域</w:t>
            </w:r>
          </w:p>
        </w:tc>
        <w:tc>
          <w:tcPr>
            <w:tcW w:w="6816"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用于划分监管关注领域大类。分公司治理、公司财务、保险集团（控股）公司业务、保险集团（控股）公司关联交易、风险管理5个主题域。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表</w:t>
            </w:r>
          </w:p>
        </w:tc>
        <w:tc>
          <w:tcPr>
            <w:tcW w:w="6816"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即关系型数据表格，承载具体业务数据，一个主题域有多个表。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数据项（列）</w:t>
            </w:r>
          </w:p>
        </w:tc>
        <w:tc>
          <w:tcPr>
            <w:tcW w:w="6816" w:type="dxa"/>
            <w:vAlign w:val="center"/>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表内有一个或多个数据项（列），即数据的基本单位。每个数据项的释义见“</w:t>
            </w:r>
            <w:r>
              <w:rPr>
                <w:rFonts w:ascii="宋体" w:hAnsi="宋体" w:eastAsia="宋体" w:cstheme="minorEastAsia"/>
                <w:color w:val="000000" w:themeColor="text1"/>
                <w:sz w:val="21"/>
                <w:szCs w:val="21"/>
                <w14:textFill>
                  <w14:solidFill>
                    <w14:schemeClr w14:val="tx1"/>
                  </w14:solidFill>
                </w14:textFill>
              </w:rPr>
              <w:t>数据项说明</w:t>
            </w:r>
            <w:r>
              <w:rPr>
                <w:rFonts w:hint="eastAsia" w:ascii="宋体" w:hAnsi="宋体" w:eastAsia="宋体" w:cstheme="minorEastAsia"/>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sz w:val="21"/>
                <w:szCs w:val="21"/>
              </w:rPr>
              <w:t>数据实例（行）</w:t>
            </w:r>
          </w:p>
        </w:tc>
        <w:tc>
          <w:tcPr>
            <w:tcW w:w="6816" w:type="dxa"/>
          </w:tcPr>
          <w:p>
            <w:pPr>
              <w:spacing w:line="288" w:lineRule="auto"/>
              <w:ind w:firstLine="0" w:firstLineChars="0"/>
              <w:jc w:val="left"/>
              <w:rPr>
                <w:rFonts w:ascii="宋体" w:hAnsi="宋体" w:eastAsia="宋体" w:cstheme="minorEastAsia"/>
                <w:color w:val="000000" w:themeColor="text1"/>
                <w:sz w:val="21"/>
                <w:szCs w:val="21"/>
                <w14:textFill>
                  <w14:solidFill>
                    <w14:schemeClr w14:val="tx1"/>
                  </w14:solidFill>
                </w14:textFill>
              </w:rPr>
            </w:pPr>
            <w:r>
              <w:rPr>
                <w:rFonts w:ascii="宋体" w:hAnsi="宋体" w:eastAsia="宋体"/>
                <w:sz w:val="21"/>
                <w:szCs w:val="21"/>
              </w:rPr>
              <w:t>每一个数据实例包含且仅包含一行所有数据项（列）定义的数据，是数据存储和报送的基本单位。数据实例遵循关系型数据库第二范式，即数据实例在同一表中不重复。</w:t>
            </w:r>
          </w:p>
        </w:tc>
      </w:tr>
    </w:tbl>
    <w:p>
      <w:pPr>
        <w:keepNext/>
        <w:keepLines/>
        <w:numPr>
          <w:ilvl w:val="0"/>
          <w:numId w:val="5"/>
        </w:numPr>
        <w:ind w:left="0" w:firstLine="602" w:firstLineChars="0"/>
        <w:outlineLvl w:val="1"/>
        <w:rPr>
          <w:rFonts w:ascii="Arial" w:hAnsi="Arial" w:eastAsia="楷体"/>
          <w:b/>
          <w:szCs w:val="30"/>
        </w:rPr>
      </w:pPr>
      <w:bookmarkStart w:id="41" w:name="_Toc14621"/>
      <w:bookmarkStart w:id="42" w:name="_Toc20905"/>
      <w:bookmarkStart w:id="43" w:name="_Toc7171"/>
      <w:bookmarkStart w:id="44" w:name="_Toc24054"/>
      <w:bookmarkStart w:id="45" w:name="_Toc23888"/>
      <w:bookmarkStart w:id="46" w:name="_Toc10927"/>
      <w:bookmarkStart w:id="47" w:name="_Toc10043"/>
      <w:bookmarkStart w:id="48" w:name="_Toc98147812"/>
      <w:bookmarkStart w:id="49" w:name="_Toc21707"/>
      <w:bookmarkStart w:id="50" w:name="_Toc73958558"/>
      <w:r>
        <w:rPr>
          <w:rFonts w:hint="eastAsia" w:ascii="Arial" w:hAnsi="Arial" w:eastAsia="楷体"/>
          <w:b/>
          <w:szCs w:val="30"/>
        </w:rPr>
        <w:t>数据项格式</w:t>
      </w:r>
      <w:bookmarkEnd w:id="41"/>
      <w:bookmarkEnd w:id="42"/>
      <w:bookmarkEnd w:id="43"/>
      <w:bookmarkEnd w:id="44"/>
      <w:bookmarkEnd w:id="45"/>
      <w:bookmarkEnd w:id="46"/>
      <w:bookmarkEnd w:id="47"/>
      <w:bookmarkEnd w:id="48"/>
      <w:bookmarkEnd w:id="49"/>
      <w:bookmarkEnd w:id="50"/>
    </w:p>
    <w:p>
      <w:pPr>
        <w:ind w:firstLine="600"/>
        <w:rPr>
          <w:rFonts w:ascii="仿宋" w:hAnsi="仿宋" w:eastAsia="仿宋"/>
          <w:szCs w:val="30"/>
        </w:rPr>
      </w:pPr>
      <w:r>
        <w:rPr>
          <w:rFonts w:hint="eastAsia" w:ascii="仿宋" w:hAnsi="仿宋" w:eastAsia="仿宋"/>
          <w:szCs w:val="30"/>
        </w:rPr>
        <w:t>数据项格式是数据标准项在精度、长度、形态上的规范，包括所允许的最大和/或最小字符长度、数据的表示格式等。数据格式及详细描述如下表所示：</w:t>
      </w:r>
    </w:p>
    <w:tbl>
      <w:tblPr>
        <w:tblStyle w:val="25"/>
        <w:tblW w:w="86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6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blHeader/>
        </w:trPr>
        <w:tc>
          <w:tcPr>
            <w:tcW w:w="1821" w:type="dxa"/>
            <w:shd w:val="clear" w:color="auto" w:fill="D7D7D7" w:themeFill="background1" w:themeFillShade="D8"/>
            <w:vAlign w:val="center"/>
          </w:tcPr>
          <w:p>
            <w:pPr>
              <w:spacing w:line="288" w:lineRule="auto"/>
              <w:ind w:firstLine="0" w:firstLineChars="0"/>
              <w:jc w:val="center"/>
              <w:rPr>
                <w:rFonts w:ascii="宋体" w:hAnsi="宋体" w:eastAsia="宋体" w:cstheme="majorEastAsia"/>
                <w:b/>
                <w:color w:val="000000" w:themeColor="text1"/>
                <w:sz w:val="21"/>
                <w:szCs w:val="21"/>
                <w14:textFill>
                  <w14:solidFill>
                    <w14:schemeClr w14:val="tx1"/>
                  </w14:solidFill>
                </w14:textFill>
              </w:rPr>
            </w:pPr>
            <w:r>
              <w:rPr>
                <w:rFonts w:hint="eastAsia" w:ascii="宋体" w:hAnsi="宋体" w:eastAsia="宋体" w:cstheme="majorEastAsia"/>
                <w:b/>
                <w:color w:val="000000" w:themeColor="text1"/>
                <w:sz w:val="21"/>
                <w:szCs w:val="21"/>
                <w14:textFill>
                  <w14:solidFill>
                    <w14:schemeClr w14:val="tx1"/>
                  </w14:solidFill>
                </w14:textFill>
              </w:rPr>
              <w:t>数据格式</w:t>
            </w:r>
          </w:p>
        </w:tc>
        <w:tc>
          <w:tcPr>
            <w:tcW w:w="6833" w:type="dxa"/>
            <w:shd w:val="clear" w:color="auto" w:fill="D7D7D7" w:themeFill="background1" w:themeFillShade="D8"/>
            <w:vAlign w:val="center"/>
          </w:tcPr>
          <w:p>
            <w:pPr>
              <w:spacing w:line="288" w:lineRule="auto"/>
              <w:ind w:firstLine="0" w:firstLineChars="0"/>
              <w:jc w:val="center"/>
              <w:rPr>
                <w:rFonts w:ascii="宋体" w:hAnsi="宋体" w:eastAsia="宋体" w:cstheme="majorEastAsia"/>
                <w:b/>
                <w:color w:val="000000" w:themeColor="text1"/>
                <w:sz w:val="21"/>
                <w:szCs w:val="21"/>
                <w14:textFill>
                  <w14:solidFill>
                    <w14:schemeClr w14:val="tx1"/>
                  </w14:solidFill>
                </w14:textFill>
              </w:rPr>
            </w:pPr>
            <w:r>
              <w:rPr>
                <w:rFonts w:hint="eastAsia" w:ascii="宋体" w:hAnsi="宋体" w:eastAsia="宋体" w:cstheme="majorEastAsia"/>
                <w:b/>
                <w:color w:val="000000" w:themeColor="text1"/>
                <w:sz w:val="21"/>
                <w:szCs w:val="21"/>
                <w14:textFill>
                  <w14:solidFill>
                    <w14:schemeClr w14:val="tx1"/>
                  </w14:solidFill>
                </w14:textFill>
              </w:rPr>
              <w:t>描  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字母字符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字母数字字符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anc</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字母数字汉字字符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自然数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M!a</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M位字母字符，定长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 xml:space="preserve">M!n </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M位数字字符，定长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M!an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M位字母数字字符，定长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 xml:space="preserve">M!anc  </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M位字母数字汉字字符，定长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最多为M位字母字符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n..M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最多为M位数字字符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最多为M位字母数字字符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anc..M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最多为M位字母数字汉字字符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最少为M位字母字符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nM..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最少为M位字母数字字符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ancM..</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最少为M位字母数字汉字字符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最少为M位最多为N位字母字符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nM..N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最少为M位最多为N位数字字符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最少为M位最多为N位字母数字字符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ancM..N</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最少为M位最多为N位字母数字汉字字符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 xml:space="preserve">M(N) </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M位数字字符，其中包括小数点和N个小数位（M&gt;N+1）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YYYY-MM-DD</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日期格式，表示年月日。Y表示时间元素“年”所使用的数字，M表示时间元素“月”所使用的数字，D表示时间元素“日”所使用的数字。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HH:MM:SS</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时间格式（24小时制），表示时分秒。H表示时间元素“小时”所使用的数字，M表示时间元素“分钟”所使用的数字，S表示时间元素“秒”所使用的数字。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821"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YYYY-MM-DDTHH:MM:SS</w:t>
            </w:r>
          </w:p>
        </w:tc>
        <w:tc>
          <w:tcPr>
            <w:tcW w:w="6833" w:type="dxa"/>
            <w:vAlign w:val="center"/>
          </w:tcPr>
          <w:p>
            <w:pPr>
              <w:spacing w:line="288" w:lineRule="auto"/>
              <w:ind w:firstLine="0" w:firstLineChars="0"/>
              <w:rPr>
                <w:rFonts w:ascii="宋体" w:hAnsi="宋体" w:eastAsia="宋体" w:cstheme="minorEastAsia"/>
                <w:color w:val="000000" w:themeColor="text1"/>
                <w:sz w:val="21"/>
                <w:szCs w:val="21"/>
                <w14:textFill>
                  <w14:solidFill>
                    <w14:schemeClr w14:val="tx1"/>
                  </w14:solidFill>
                </w14:textFill>
              </w:rPr>
            </w:pPr>
            <w:r>
              <w:rPr>
                <w:rFonts w:hint="eastAsia" w:ascii="宋体" w:hAnsi="宋体" w:eastAsia="宋体" w:cstheme="minorEastAsia"/>
                <w:color w:val="000000" w:themeColor="text1"/>
                <w:sz w:val="21"/>
                <w:szCs w:val="21"/>
                <w14:textFill>
                  <w14:solidFill>
                    <w14:schemeClr w14:val="tx1"/>
                  </w14:solidFill>
                </w14:textFill>
              </w:rPr>
              <w:t>日期时间格式，表示某年某月某日某时某分某秒。T为时间标识符，在日期和时间组合表达式中，用以标识该日的时间表示法的开始。</w:t>
            </w:r>
          </w:p>
        </w:tc>
      </w:tr>
    </w:tbl>
    <w:p>
      <w:pPr>
        <w:ind w:firstLine="600"/>
        <w:rPr>
          <w:rFonts w:ascii="仿宋" w:hAnsi="仿宋" w:eastAsia="仿宋"/>
          <w:szCs w:val="30"/>
        </w:rPr>
      </w:pPr>
      <w:r>
        <w:rPr>
          <w:rFonts w:hint="eastAsia" w:ascii="仿宋" w:hAnsi="仿宋" w:eastAsia="仿宋"/>
          <w:szCs w:val="30"/>
        </w:rPr>
        <w:t>示例:</w:t>
      </w:r>
    </w:p>
    <w:p>
      <w:pPr>
        <w:ind w:firstLine="600"/>
        <w:rPr>
          <w:rFonts w:ascii="仿宋" w:hAnsi="仿宋" w:eastAsia="仿宋"/>
          <w:szCs w:val="30"/>
        </w:rPr>
      </w:pPr>
      <w:r>
        <w:rPr>
          <w:rFonts w:hint="eastAsia" w:ascii="仿宋" w:hAnsi="仿宋" w:eastAsia="仿宋"/>
          <w:szCs w:val="30"/>
        </w:rPr>
        <w:t>7!an 表示定长7位字母数字字符。</w:t>
      </w:r>
    </w:p>
    <w:p>
      <w:pPr>
        <w:ind w:firstLine="600"/>
        <w:rPr>
          <w:rFonts w:ascii="仿宋" w:hAnsi="仿宋" w:eastAsia="仿宋"/>
          <w:szCs w:val="30"/>
        </w:rPr>
      </w:pPr>
      <w:r>
        <w:rPr>
          <w:rFonts w:hint="eastAsia" w:ascii="仿宋" w:hAnsi="仿宋" w:eastAsia="仿宋"/>
          <w:szCs w:val="30"/>
        </w:rPr>
        <w:t>anc3..8 表示最小长度为３，最大长度为８的不定长字母数字汉字字符。</w:t>
      </w:r>
    </w:p>
    <w:p>
      <w:pPr>
        <w:ind w:firstLine="600"/>
        <w:rPr>
          <w:rFonts w:ascii="仿宋" w:hAnsi="仿宋" w:eastAsia="仿宋"/>
          <w:szCs w:val="30"/>
        </w:rPr>
      </w:pPr>
      <w:r>
        <w:rPr>
          <w:rFonts w:hint="eastAsia" w:ascii="仿宋" w:hAnsi="仿宋" w:eastAsia="仿宋"/>
          <w:szCs w:val="30"/>
        </w:rPr>
        <w:t>12n(2) 表示12位数字字符，其中包括小数点和2个小数位。</w:t>
      </w:r>
    </w:p>
    <w:p>
      <w:pPr>
        <w:keepNext/>
        <w:keepLines/>
        <w:numPr>
          <w:ilvl w:val="0"/>
          <w:numId w:val="5"/>
        </w:numPr>
        <w:ind w:left="0" w:firstLine="602" w:firstLineChars="0"/>
        <w:outlineLvl w:val="1"/>
        <w:rPr>
          <w:rFonts w:ascii="Arial" w:hAnsi="Arial" w:eastAsia="楷体"/>
          <w:b/>
          <w:szCs w:val="30"/>
        </w:rPr>
      </w:pPr>
      <w:bookmarkStart w:id="51" w:name="_Toc9919"/>
      <w:bookmarkStart w:id="52" w:name="_Toc98147813"/>
      <w:bookmarkStart w:id="53" w:name="_Toc8089"/>
      <w:bookmarkStart w:id="54" w:name="_Toc17248"/>
      <w:bookmarkStart w:id="55" w:name="_Toc8817"/>
      <w:bookmarkStart w:id="56" w:name="_Toc31440"/>
      <w:bookmarkStart w:id="57" w:name="_Toc3525"/>
      <w:bookmarkStart w:id="58" w:name="_Toc25305"/>
      <w:bookmarkStart w:id="59" w:name="_Toc73958559"/>
      <w:bookmarkStart w:id="60" w:name="_Toc29319"/>
      <w:r>
        <w:rPr>
          <w:rFonts w:hint="eastAsia" w:ascii="Arial" w:hAnsi="Arial" w:eastAsia="楷体"/>
          <w:b/>
          <w:szCs w:val="30"/>
        </w:rPr>
        <w:t>数据结构目录</w:t>
      </w:r>
      <w:bookmarkEnd w:id="51"/>
      <w:bookmarkEnd w:id="52"/>
      <w:bookmarkEnd w:id="53"/>
      <w:bookmarkEnd w:id="54"/>
      <w:bookmarkEnd w:id="55"/>
      <w:bookmarkEnd w:id="56"/>
      <w:bookmarkEnd w:id="57"/>
      <w:bookmarkEnd w:id="58"/>
      <w:bookmarkEnd w:id="59"/>
      <w:bookmarkEnd w:id="60"/>
    </w:p>
    <w:p>
      <w:pPr>
        <w:ind w:firstLine="600"/>
        <w:rPr>
          <w:rFonts w:ascii="仿宋" w:hAnsi="仿宋" w:eastAsia="仿宋" w:cs="仿宋_GB2312"/>
          <w:bCs/>
          <w:szCs w:val="30"/>
        </w:rPr>
      </w:pPr>
      <w:r>
        <w:rPr>
          <w:rFonts w:hint="eastAsia" w:ascii="仿宋" w:hAnsi="仿宋" w:eastAsia="仿宋"/>
          <w:szCs w:val="30"/>
        </w:rPr>
        <w:t>数据结构目录是按照监管关注及业务维度对具体数据表的分类，分为</w:t>
      </w:r>
      <w:r>
        <w:rPr>
          <w:rFonts w:hint="eastAsia" w:ascii="仿宋" w:hAnsi="仿宋" w:eastAsia="仿宋" w:cs="仿宋_GB2312"/>
          <w:bCs/>
          <w:szCs w:val="30"/>
        </w:rPr>
        <w:t>公司治理、公司财务、</w:t>
      </w:r>
      <w:r>
        <w:rPr>
          <w:rFonts w:hint="eastAsia" w:ascii="仿宋" w:hAnsi="仿宋" w:eastAsia="仿宋" w:cs="仿宋_GB2312"/>
          <w:color w:val="000000" w:themeColor="text1"/>
          <w:szCs w:val="30"/>
          <w14:textFill>
            <w14:solidFill>
              <w14:schemeClr w14:val="tx1"/>
            </w14:solidFill>
          </w14:textFill>
        </w:rPr>
        <w:t>保险集团（控股）</w:t>
      </w:r>
      <w:r>
        <w:rPr>
          <w:rFonts w:hint="eastAsia" w:ascii="仿宋" w:hAnsi="仿宋" w:eastAsia="仿宋" w:cs="仿宋_GB2312"/>
          <w:bCs/>
          <w:szCs w:val="30"/>
        </w:rPr>
        <w:t>公司业务、</w:t>
      </w:r>
      <w:r>
        <w:rPr>
          <w:rFonts w:hint="eastAsia" w:ascii="仿宋" w:hAnsi="仿宋" w:eastAsia="仿宋" w:cs="仿宋_GB2312"/>
          <w:color w:val="000000" w:themeColor="text1"/>
          <w:szCs w:val="30"/>
          <w14:textFill>
            <w14:solidFill>
              <w14:schemeClr w14:val="tx1"/>
            </w14:solidFill>
          </w14:textFill>
        </w:rPr>
        <w:t>保险集团（控股）</w:t>
      </w:r>
      <w:r>
        <w:rPr>
          <w:rFonts w:hint="eastAsia" w:ascii="仿宋" w:hAnsi="仿宋" w:eastAsia="仿宋" w:cs="仿宋_GB2312"/>
          <w:bCs/>
          <w:szCs w:val="30"/>
        </w:rPr>
        <w:t>公司关联交易、风险管理五个主题域，及相关二级子域，具体如下：</w:t>
      </w:r>
    </w:p>
    <w:tbl>
      <w:tblPr>
        <w:tblStyle w:val="26"/>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134"/>
        <w:gridCol w:w="851"/>
        <w:gridCol w:w="1276"/>
        <w:gridCol w:w="850"/>
        <w:gridCol w:w="3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29" w:type="dxa"/>
            <w:vAlign w:val="center"/>
          </w:tcPr>
          <w:p>
            <w:pPr>
              <w:ind w:firstLine="0" w:firstLineChars="0"/>
              <w:jc w:val="center"/>
              <w:rPr>
                <w:rFonts w:ascii="宋体" w:hAnsi="宋体" w:eastAsia="宋体" w:cs="仿宋_GB2312"/>
                <w:b/>
                <w:bCs/>
                <w:sz w:val="21"/>
                <w:szCs w:val="21"/>
              </w:rPr>
            </w:pPr>
            <w:r>
              <w:rPr>
                <w:rFonts w:hint="eastAsia" w:ascii="宋体" w:hAnsi="宋体" w:eastAsia="宋体" w:cs="仿宋_GB2312"/>
                <w:b/>
                <w:bCs/>
                <w:sz w:val="21"/>
                <w:szCs w:val="21"/>
              </w:rPr>
              <w:t>主题域</w:t>
            </w:r>
          </w:p>
        </w:tc>
        <w:tc>
          <w:tcPr>
            <w:tcW w:w="1134" w:type="dxa"/>
            <w:vAlign w:val="center"/>
          </w:tcPr>
          <w:p>
            <w:pPr>
              <w:ind w:firstLine="0" w:firstLineChars="0"/>
              <w:jc w:val="center"/>
              <w:rPr>
                <w:rFonts w:ascii="宋体" w:hAnsi="宋体" w:eastAsia="宋体" w:cs="仿宋_GB2312"/>
                <w:b/>
                <w:bCs/>
                <w:sz w:val="21"/>
                <w:szCs w:val="21"/>
              </w:rPr>
            </w:pPr>
            <w:r>
              <w:rPr>
                <w:rFonts w:hint="eastAsia" w:ascii="宋体" w:hAnsi="宋体" w:eastAsia="宋体" w:cs="仿宋_GB2312"/>
                <w:b/>
                <w:bCs/>
                <w:sz w:val="21"/>
                <w:szCs w:val="21"/>
              </w:rPr>
              <w:t>子域</w:t>
            </w:r>
          </w:p>
        </w:tc>
        <w:tc>
          <w:tcPr>
            <w:tcW w:w="851" w:type="dxa"/>
            <w:vAlign w:val="center"/>
          </w:tcPr>
          <w:p>
            <w:pPr>
              <w:ind w:firstLine="0" w:firstLineChars="0"/>
              <w:jc w:val="center"/>
              <w:rPr>
                <w:rFonts w:ascii="宋体" w:hAnsi="宋体" w:eastAsia="宋体" w:cs="仿宋_GB2312"/>
                <w:b/>
                <w:bCs/>
                <w:sz w:val="21"/>
                <w:szCs w:val="21"/>
              </w:rPr>
            </w:pPr>
            <w:r>
              <w:rPr>
                <w:rFonts w:hint="eastAsia" w:ascii="宋体" w:hAnsi="宋体" w:eastAsia="宋体" w:cs="仿宋_GB2312"/>
                <w:b/>
                <w:bCs/>
                <w:sz w:val="21"/>
                <w:szCs w:val="21"/>
              </w:rPr>
              <w:t>表名</w:t>
            </w:r>
          </w:p>
        </w:tc>
        <w:tc>
          <w:tcPr>
            <w:tcW w:w="1276" w:type="dxa"/>
            <w:vAlign w:val="center"/>
          </w:tcPr>
          <w:p>
            <w:pPr>
              <w:ind w:firstLine="0" w:firstLineChars="0"/>
              <w:jc w:val="center"/>
              <w:rPr>
                <w:rFonts w:ascii="宋体" w:hAnsi="宋体" w:eastAsia="宋体" w:cs="仿宋_GB2312"/>
                <w:b/>
                <w:bCs/>
                <w:sz w:val="21"/>
                <w:szCs w:val="21"/>
              </w:rPr>
            </w:pPr>
            <w:r>
              <w:rPr>
                <w:rFonts w:hint="eastAsia" w:ascii="宋体" w:hAnsi="宋体" w:eastAsia="宋体" w:cs="仿宋_GB2312"/>
                <w:b/>
                <w:bCs/>
                <w:sz w:val="21"/>
                <w:szCs w:val="21"/>
              </w:rPr>
              <w:t>表中文名</w:t>
            </w:r>
          </w:p>
        </w:tc>
        <w:tc>
          <w:tcPr>
            <w:tcW w:w="850" w:type="dxa"/>
            <w:vAlign w:val="center"/>
          </w:tcPr>
          <w:p>
            <w:pPr>
              <w:ind w:firstLine="0" w:firstLineChars="0"/>
              <w:jc w:val="center"/>
              <w:rPr>
                <w:rFonts w:ascii="宋体" w:hAnsi="宋体" w:eastAsia="宋体" w:cs="仿宋_GB2312"/>
                <w:b/>
                <w:bCs/>
                <w:sz w:val="21"/>
                <w:szCs w:val="21"/>
              </w:rPr>
            </w:pPr>
            <w:r>
              <w:rPr>
                <w:rFonts w:hint="eastAsia" w:ascii="宋体" w:hAnsi="宋体" w:eastAsia="宋体" w:cs="仿宋_GB2312"/>
                <w:b/>
                <w:bCs/>
                <w:sz w:val="21"/>
                <w:szCs w:val="21"/>
              </w:rPr>
              <w:t>表编号</w:t>
            </w:r>
          </w:p>
        </w:tc>
        <w:tc>
          <w:tcPr>
            <w:tcW w:w="3594" w:type="dxa"/>
            <w:vAlign w:val="center"/>
          </w:tcPr>
          <w:p>
            <w:pPr>
              <w:ind w:firstLine="0" w:firstLineChars="0"/>
              <w:jc w:val="center"/>
              <w:rPr>
                <w:rFonts w:ascii="宋体" w:hAnsi="宋体" w:eastAsia="宋体" w:cs="仿宋_GB2312"/>
                <w:b/>
                <w:bCs/>
                <w:sz w:val="21"/>
                <w:szCs w:val="21"/>
              </w:rPr>
            </w:pPr>
            <w:r>
              <w:rPr>
                <w:rFonts w:hint="eastAsia" w:ascii="宋体" w:hAnsi="宋体" w:eastAsia="宋体" w:cs="仿宋_GB2312"/>
                <w:b/>
                <w:bCs/>
                <w:sz w:val="21"/>
                <w:szCs w:val="21"/>
              </w:rPr>
              <w:t>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公司治理</w:t>
            </w:r>
          </w:p>
        </w:tc>
        <w:tc>
          <w:tcPr>
            <w:tcW w:w="1134"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集团架构</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JTCYGSGXTP</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集团成员公司关系图谱</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w:t>
            </w:r>
            <w:r>
              <w:rPr>
                <w:rFonts w:ascii="宋体" w:hAnsi="宋体" w:eastAsia="宋体" w:cs="仿宋_GB2312"/>
                <w:bCs/>
                <w:sz w:val="21"/>
                <w:szCs w:val="21"/>
              </w:rPr>
              <w:t>1</w:t>
            </w:r>
            <w:r>
              <w:rPr>
                <w:rFonts w:hint="eastAsia" w:ascii="宋体" w:hAnsi="宋体" w:eastAsia="宋体" w:cs="仿宋_GB2312"/>
                <w:bCs/>
                <w:sz w:val="21"/>
                <w:szCs w:val="21"/>
              </w:rPr>
              <w:t>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本表报送保险集团成员公司关系（含非法人机构），数据报送以保险集团（控股）公司为第一层逐步向后扩展；两个成员公司之间同时相互持股时，应分别填报。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保险集团（控股）公司</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JGXXB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机构信息表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w:t>
            </w:r>
            <w:r>
              <w:rPr>
                <w:rFonts w:ascii="宋体" w:hAnsi="宋体" w:eastAsia="宋体" w:cs="仿宋_GB2312"/>
                <w:bCs/>
                <w:sz w:val="21"/>
                <w:szCs w:val="21"/>
              </w:rPr>
              <w:t>2</w:t>
            </w:r>
            <w:r>
              <w:rPr>
                <w:rFonts w:hint="eastAsia" w:ascii="宋体" w:hAnsi="宋体" w:eastAsia="宋体" w:cs="仿宋_GB2312"/>
                <w:bCs/>
                <w:sz w:val="21"/>
                <w:szCs w:val="21"/>
              </w:rPr>
              <w:t>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本表报送保险集团（控股）公司注册信息。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GQXXB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股权信息表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w:t>
            </w:r>
            <w:r>
              <w:rPr>
                <w:rFonts w:ascii="宋体" w:hAnsi="宋体" w:eastAsia="宋体" w:cs="仿宋_GB2312"/>
                <w:bCs/>
                <w:sz w:val="21"/>
                <w:szCs w:val="21"/>
              </w:rPr>
              <w:t>2</w:t>
            </w:r>
            <w:r>
              <w:rPr>
                <w:rFonts w:hint="eastAsia" w:ascii="宋体" w:hAnsi="宋体" w:eastAsia="宋体" w:cs="仿宋_GB2312"/>
                <w:bCs/>
                <w:sz w:val="21"/>
                <w:szCs w:val="21"/>
              </w:rPr>
              <w:t>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本表报送保险集团（控股）公司股权组成信息，对于上市公司仅报送持股5%及以上的机构及个人股东信息。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JGCFXXB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机构处罚信息表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w:t>
            </w:r>
            <w:r>
              <w:rPr>
                <w:rFonts w:ascii="宋体" w:hAnsi="宋体" w:eastAsia="宋体" w:cs="仿宋_GB2312"/>
                <w:bCs/>
                <w:sz w:val="21"/>
                <w:szCs w:val="21"/>
              </w:rPr>
              <w:t>2</w:t>
            </w:r>
            <w:r>
              <w:rPr>
                <w:rFonts w:hint="eastAsia" w:ascii="宋体" w:hAnsi="宋体" w:eastAsia="宋体" w:cs="仿宋_GB2312"/>
                <w:bCs/>
                <w:sz w:val="21"/>
                <w:szCs w:val="21"/>
              </w:rPr>
              <w:t>0</w:t>
            </w:r>
            <w:r>
              <w:rPr>
                <w:rFonts w:ascii="宋体" w:hAnsi="宋体" w:eastAsia="宋体" w:cs="仿宋_GB2312"/>
                <w:bCs/>
                <w:sz w:val="21"/>
                <w:szCs w:val="21"/>
              </w:rPr>
              <w:t>3</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本表报送保险集团（控股）公司的处罚信息。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YGXXB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员工信息表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w:t>
            </w:r>
            <w:r>
              <w:rPr>
                <w:rFonts w:ascii="宋体" w:hAnsi="宋体" w:eastAsia="宋体" w:cs="仿宋_GB2312"/>
                <w:bCs/>
                <w:sz w:val="21"/>
                <w:szCs w:val="21"/>
              </w:rPr>
              <w:t>2</w:t>
            </w:r>
            <w:r>
              <w:rPr>
                <w:rFonts w:hint="eastAsia" w:ascii="宋体" w:hAnsi="宋体" w:eastAsia="宋体" w:cs="仿宋_GB2312"/>
                <w:bCs/>
                <w:sz w:val="21"/>
                <w:szCs w:val="21"/>
              </w:rPr>
              <w:t>0</w:t>
            </w:r>
            <w:r>
              <w:rPr>
                <w:rFonts w:ascii="宋体" w:hAnsi="宋体" w:eastAsia="宋体" w:cs="仿宋_GB2312"/>
                <w:bCs/>
                <w:sz w:val="21"/>
                <w:szCs w:val="21"/>
              </w:rPr>
              <w:t>4</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本表报送保险集团（控股）公司所有与公司签订劳动合同的员工信息，包括在岗和离职员工。董事、监事、高管等人员信息应包含在内。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YGWZXXB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员工问责信息表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w:t>
            </w:r>
            <w:r>
              <w:rPr>
                <w:rFonts w:ascii="宋体" w:hAnsi="宋体" w:eastAsia="宋体" w:cs="仿宋_GB2312"/>
                <w:bCs/>
                <w:sz w:val="21"/>
                <w:szCs w:val="21"/>
              </w:rPr>
              <w:t>2</w:t>
            </w:r>
            <w:r>
              <w:rPr>
                <w:rFonts w:hint="eastAsia" w:ascii="宋体" w:hAnsi="宋体" w:eastAsia="宋体" w:cs="仿宋_GB2312"/>
                <w:bCs/>
                <w:sz w:val="21"/>
                <w:szCs w:val="21"/>
              </w:rPr>
              <w:t>0</w:t>
            </w:r>
            <w:r>
              <w:rPr>
                <w:rFonts w:ascii="宋体" w:hAnsi="宋体" w:eastAsia="宋体" w:cs="仿宋_GB2312"/>
                <w:bCs/>
                <w:sz w:val="21"/>
                <w:szCs w:val="21"/>
              </w:rPr>
              <w:t>5</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本表报送保险集团（控股）公司所有与公司签订劳动合同的员工，因违法、违反党纪等被本机构公开问责的情况。人员包括董事、监事、高管及其他员工，同一人受到多次问责的应分别填报。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DJGLZXXB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董监高履职信息表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w:t>
            </w:r>
            <w:r>
              <w:rPr>
                <w:rFonts w:ascii="宋体" w:hAnsi="宋体" w:eastAsia="宋体" w:cs="仿宋_GB2312"/>
                <w:bCs/>
                <w:sz w:val="21"/>
                <w:szCs w:val="21"/>
              </w:rPr>
              <w:t>2</w:t>
            </w:r>
            <w:r>
              <w:rPr>
                <w:rFonts w:hint="eastAsia" w:ascii="宋体" w:hAnsi="宋体" w:eastAsia="宋体" w:cs="仿宋_GB2312"/>
                <w:bCs/>
                <w:sz w:val="21"/>
                <w:szCs w:val="21"/>
              </w:rPr>
              <w:t>0</w:t>
            </w:r>
            <w:r>
              <w:rPr>
                <w:rFonts w:ascii="宋体" w:hAnsi="宋体" w:eastAsia="宋体" w:cs="仿宋_GB2312"/>
                <w:bCs/>
                <w:sz w:val="21"/>
                <w:szCs w:val="21"/>
              </w:rPr>
              <w:t>6</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本表报送保险集团（控股）公司董事、监事、高管范围人员的履职情况信息，如董事、监事、高管兼任多个职务，需要分开报送。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DJGCFXXB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董监高处罚信息表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w:t>
            </w:r>
            <w:r>
              <w:rPr>
                <w:rFonts w:ascii="宋体" w:hAnsi="宋体" w:eastAsia="宋体" w:cs="仿宋_GB2312"/>
                <w:bCs/>
                <w:sz w:val="21"/>
                <w:szCs w:val="21"/>
              </w:rPr>
              <w:t>2</w:t>
            </w:r>
            <w:r>
              <w:rPr>
                <w:rFonts w:hint="eastAsia" w:ascii="宋体" w:hAnsi="宋体" w:eastAsia="宋体" w:cs="仿宋_GB2312"/>
                <w:bCs/>
                <w:sz w:val="21"/>
                <w:szCs w:val="21"/>
              </w:rPr>
              <w:t>0</w:t>
            </w:r>
            <w:r>
              <w:rPr>
                <w:rFonts w:ascii="宋体" w:hAnsi="宋体" w:eastAsia="宋体" w:cs="仿宋_GB2312"/>
                <w:bCs/>
                <w:sz w:val="21"/>
                <w:szCs w:val="21"/>
              </w:rPr>
              <w:t>7</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本表报送保险集团（控股）公司所有董事、监事、高管范围的处罚信息，如董事、监事、高管兼任多个职务或受到多个处罚，需要分开报送。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成员公司（不含保险集团（控股）公司）</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CYGSJGXXB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成员公司机构信息表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A0301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本表报送成员公司（不含保险集团（控股）公司）注册信息。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CYGSGQXXB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成员公司股权信息表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A0302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本表报送成员公司（不含保险集团（控股）公司）所有股权组成信息，对于上市公司仅报送持股</w:t>
            </w:r>
            <w:r>
              <w:rPr>
                <w:rFonts w:ascii="宋体" w:hAnsi="宋体" w:eastAsia="宋体"/>
                <w:color w:val="000000"/>
                <w:sz w:val="21"/>
                <w:szCs w:val="21"/>
              </w:rPr>
              <w:t>5%及以上的机构及个人股东信息，对于未上市公司报送持股1%及以上的机构及个人股东信息。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CYGSJGCFXXB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成员公司机构处罚信息表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A030</w:t>
            </w:r>
            <w:r>
              <w:rPr>
                <w:rFonts w:ascii="宋体" w:hAnsi="宋体" w:eastAsia="宋体" w:cs="仿宋_GB2312"/>
                <w:bCs/>
                <w:sz w:val="21"/>
                <w:szCs w:val="21"/>
              </w:rPr>
              <w:t>3</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本表报送成员公司（不含保险集团（控股）公司）的处罚信息，含下级分支机构。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CYGSDJGLZXXB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成员公司董监高履职信息表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A030</w:t>
            </w:r>
            <w:r>
              <w:rPr>
                <w:rFonts w:ascii="宋体" w:hAnsi="宋体" w:eastAsia="宋体" w:cs="仿宋_GB2312"/>
                <w:bCs/>
                <w:sz w:val="21"/>
                <w:szCs w:val="21"/>
              </w:rPr>
              <w:t>4</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本表报送成员公司（不含保险集团（控股）公司）董事、监事、高管范围人员的履职情况信息，如董事、监事、高管兼任多个职务，需要分开报送。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CYGSDJGCFXXB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成员公司董监高处罚信息表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A030</w:t>
            </w:r>
            <w:r>
              <w:rPr>
                <w:rFonts w:ascii="宋体" w:hAnsi="宋体" w:eastAsia="宋体" w:cs="仿宋_GB2312"/>
                <w:bCs/>
                <w:sz w:val="21"/>
                <w:szCs w:val="21"/>
              </w:rPr>
              <w:t>5</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本表报送成员公司（不含保险集团（控股）公司）内所有董事、监事、高管范围的处罚信息，如董事、监事、高管兼任多个职务或受到多个处罚，需要分开报送。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CYGSGLRYXXB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成员公司管理人员信息表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A030</w:t>
            </w:r>
            <w:r>
              <w:rPr>
                <w:rFonts w:ascii="宋体" w:hAnsi="宋体" w:eastAsia="宋体" w:cs="仿宋_GB2312"/>
                <w:bCs/>
                <w:sz w:val="21"/>
                <w:szCs w:val="21"/>
              </w:rPr>
              <w:t>6</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本表报送成员公司（不含保险集团（控股）公司）所有与公司签订劳动合同或聘用合同的管理人员信息，包括董事、监事、高管、自行认定的中层管理人员等人员信息。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公司财务</w:t>
            </w: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集团合并</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JTHBBBFWNBHBFXXB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集团合并报表范围内被合并方信息表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B0101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本表报送集团合并财务信息统计表范围内公司或其他主体基本信息。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JTHBCWXXTJB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集团合并财务信息统计表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B0102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本表报送集团合并财务信息统计指标。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保险集团（控股）公司</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NBKMDZB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内部科目对照表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B0201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本表报送保险集团（控股）公司总账会计全科目每一级科目由下级科目或明细账生成的关系，需要报送全量一级到最末级的会计科目。上级科目编号必须在该表中存在且具有唯一性。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ZZKJQKMB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总账会计全科目表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B0202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本表报送保险集团（控股）公司全科目本年累计数据，币种包括人民币汇总、外币分币种汇总。此表与内部科目对照表关系一致。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KJPZXXB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会计凭证信息表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B0203</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本表报送保险集团（控股）公司当期所有会计凭证。填报全科目凭证信息。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YHZHXXB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银行账户信息表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B0204</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本表报送保险集团（控股）公司所有银行账户信息。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CWXXTJB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财务信息统计表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B0205</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本表报送保险集团（控股）公司当年财务信息统计指标。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w:t>
            </w:r>
            <w:r>
              <w:rPr>
                <w:rFonts w:hint="eastAsia" w:ascii="宋体" w:hAnsi="宋体" w:eastAsia="宋体" w:cs="仿宋_GB2312"/>
                <w:bCs/>
                <w:sz w:val="21"/>
                <w:szCs w:val="21"/>
              </w:rPr>
              <w:br w:type="textWrapping"/>
            </w:r>
            <w:r>
              <w:rPr>
                <w:rFonts w:hint="eastAsia" w:ascii="宋体" w:hAnsi="宋体" w:eastAsia="宋体" w:cs="仿宋_GB2312"/>
                <w:bCs/>
                <w:sz w:val="21"/>
                <w:szCs w:val="21"/>
              </w:rPr>
              <w:t>（不含保险集团（控股）公司）</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CYGSNBKMDZB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成员公司内部科目对照表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B0301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集团合并财务信息统计表范围内成员公司（不含保险集团（控股）公司、境外公司），总账会计全科目每一级科目由下级科目或明细账生成的关系，需要报送全量一级到最末级的会计科目。上级科目编号必须在该表中存在且具有唯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CYGSZZKJQKMB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成员公司总账会计全科目表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B0302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本表报送集团合并财务信息统计表范围内成员公司（不含保险集团（控股）公司、境外公司）全科目报表数据，币种包括人民币汇总、外币分币种汇总。此表与内部科目对照表关系一致。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CYGSYHZHXXB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成员公司银行账户信息表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B0303</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本表报送集团合并财务信息统计表范围内成员公司（不含保险集团（控股）公司、境外公司）所有银行账户信息。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CYGSCWXXTJB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成员公司财务信息统计表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B0304</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本表报送集团合并财务信息统计表范围内成员公司（不含保险集团（控股）公司、境外公司）财务信息统计指标。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保险集团（控股）公司业务</w:t>
            </w: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自主投资</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ZZTZZHXXB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自主投资账户信息表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本表报送保险集团（控股）公司自主投资账户信息，包括账户性质、账户基本信息、账户运作信息、账户收入信息、账户费用等信息。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ZZTZJYLSB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自主投资交易流水表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本表报送保险集团（控股）公司当期自主投资交易流水，包括投资资产类型、投资资产名称、交易对手、交易金额等信息。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ZZTZCCB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自主投资持仓表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C0103</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本表报送保险集团（控股）公司本年自主投资持仓信息。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XTJHJBXXB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信托计划基本信息表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C0104</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本表报送保险集团（控股）公司持有信托计划基本信息。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XTJHRZRXXB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信托计划融资人信息表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C0105</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本表报送保险集团（控股）公司持有信托计划融资人相关信息。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CKZSSXXB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存款证实书信息表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C0106</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本表报送保险集团（控股）公司持有银行存款证实书基本信息、信用风险、交易规模以及质押相关信息。不包含活期存款。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LCCPXXB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理财产品信息表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C0107</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本表报送保险集团（控股）公司持有的银行及银行理财子公司理财产品信息。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ZQGSZXZGJHXXB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证券公司专项资管计划信息表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C0108</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本表报送保险集团（控股）公司持有证券公司专项资管计划信息。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XDZCZCZQXXB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信贷资产支持证券信息表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C0109</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本表报送保险集团（控股）公司持有信贷资产支持证券信息。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ZJGQTZXXB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直接股权投资信息表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C0110</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本表报送保险集团（控股）公司持有未上市企业的直接股权投资相关信息。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SMTZJJXXB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私募投资基金信息表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C0111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本表报送保险集团（控股）公司持有私募投资基金相关信息。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ZJTZBDCXXB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直接投资不动产信息表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C0112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本表报送保险集团（控股）公司直接投资不动产相关信息。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委托投资</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WTTZXXB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委托投资信息表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C0201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本表报送保险集团（控股）公司委托投资业务情况。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WTTZZCFZTJB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委托投资资产负债统计表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C0202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本表报送保险集团（控股）公司委托投资资产负债统计信息。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WTTZCCB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委托投资持仓表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C0203</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本表报送保险集团（控股）公司本年委托投资持仓信息。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保险集团（控股）公司关联交易</w:t>
            </w: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关联方档案</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FRHQTZZGLFXXB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法人或其他组织关联方信息表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D0101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本表报送保险集团（控股）公司的法人或其他组织关联方基础信息。在进行关联方认定时，应按照实质重于形式的原则认定。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ZRRGLFXXB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自然人关联方信息表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D0102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本表报送保险集团（控股）公司的自然人关联方数据。在进行关联方认定时，应按照实质重于形式的原则认定。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JRCPXXB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金融产品信息表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D0103</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在保险集团（控股）公司的关联方认定或关联交易中涉及的金融产品，以便向上识别产品的最终投资者，向下识别产品的底层资产，包含但不限于以下情况：关联方发行的金融产品、金融产品基础资产涉及关联方、与关联方共同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GLGXTP</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关联关系图谱</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D0104</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形成保险集团（控股）公司的自然人关联方、法人或非法人组织的关联关系，出于关联方穿透管理的需要，通过金融产品持股或施加重大影响形成的关联方，将相应金融产品作为关联方中间节点进行报送。数据报送以填报机构为最前一层关联方逐步向后扩展；两个关联方之间同一关联关系填报时，仅填报一个方向即可；自然人股东的近亲属持有或控制填报机构股份，持有或控制的股份应与自然人股东持有或控制填报机构股份分别填报。根节点数据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关联交易详情</w:t>
            </w: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ZDGLJYMXB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重大关联交易明细表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D0201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本表报送报告期内保险集团（控股）公司与关联方之间发生的各类重大关联交易，《银行保险机构关联交易管理办法》中明确的豁免事项免于报送。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YBGLJYMXB</w:t>
            </w:r>
          </w:p>
        </w:tc>
        <w:tc>
          <w:tcPr>
            <w:tcW w:w="1276"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一般关联交易明细表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D0202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本表报送报告期内保险集团（控股）公司与关联方之间发生的各类一般关联交易，《银行保险机构关联交易管理办法》中明确的豁免事项免于报送。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风险管理</w:t>
            </w:r>
          </w:p>
        </w:tc>
        <w:tc>
          <w:tcPr>
            <w:tcW w:w="1134" w:type="dxa"/>
            <w:vMerge w:val="restart"/>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集团成员公司</w:t>
            </w:r>
          </w:p>
        </w:tc>
        <w:tc>
          <w:tcPr>
            <w:tcW w:w="851" w:type="dxa"/>
          </w:tcPr>
          <w:p>
            <w:pPr>
              <w:ind w:firstLine="0" w:firstLineChars="0"/>
              <w:rPr>
                <w:rFonts w:ascii="宋体" w:hAnsi="宋体" w:eastAsia="宋体" w:cs="仿宋_GB2312"/>
                <w:bCs/>
                <w:sz w:val="21"/>
                <w:szCs w:val="21"/>
              </w:rPr>
            </w:pPr>
            <w:r>
              <w:rPr>
                <w:rFonts w:ascii="宋体" w:hAnsi="宋体" w:eastAsia="宋体"/>
                <w:sz w:val="21"/>
                <w:szCs w:val="21"/>
              </w:rPr>
              <w:t>ZDFXSJXXB</w:t>
            </w:r>
          </w:p>
        </w:tc>
        <w:tc>
          <w:tcPr>
            <w:tcW w:w="1276" w:type="dxa"/>
          </w:tcPr>
          <w:p>
            <w:pPr>
              <w:ind w:firstLine="0" w:firstLineChars="0"/>
              <w:rPr>
                <w:rFonts w:ascii="宋体" w:hAnsi="宋体" w:eastAsia="宋体" w:cs="仿宋_GB2312"/>
                <w:bCs/>
                <w:sz w:val="21"/>
                <w:szCs w:val="21"/>
              </w:rPr>
            </w:pPr>
            <w:r>
              <w:rPr>
                <w:rFonts w:ascii="宋体" w:hAnsi="宋体" w:eastAsia="宋体"/>
                <w:sz w:val="21"/>
                <w:szCs w:val="21"/>
              </w:rPr>
              <w:t>重大风险事件信息表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E</w:t>
            </w:r>
            <w:r>
              <w:rPr>
                <w:rFonts w:ascii="宋体" w:hAnsi="宋体" w:eastAsia="宋体" w:cs="仿宋_GB2312"/>
                <w:bCs/>
                <w:sz w:val="21"/>
                <w:szCs w:val="21"/>
              </w:rPr>
              <w:t>0101</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本表报送对保险集团造成重大影响的风险事件。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pPr>
              <w:ind w:firstLine="0" w:firstLineChars="0"/>
              <w:rPr>
                <w:rFonts w:ascii="宋体" w:hAnsi="宋体" w:eastAsia="宋体" w:cs="仿宋_GB2312"/>
                <w:bCs/>
                <w:sz w:val="21"/>
                <w:szCs w:val="21"/>
              </w:rPr>
            </w:pPr>
          </w:p>
        </w:tc>
        <w:tc>
          <w:tcPr>
            <w:tcW w:w="1134" w:type="dxa"/>
            <w:vMerge w:val="continue"/>
            <w:vAlign w:val="center"/>
          </w:tcPr>
          <w:p>
            <w:pPr>
              <w:ind w:firstLine="0" w:firstLineChars="0"/>
              <w:rPr>
                <w:rFonts w:ascii="宋体" w:hAnsi="宋体" w:eastAsia="宋体" w:cs="仿宋_GB2312"/>
                <w:bCs/>
                <w:sz w:val="21"/>
                <w:szCs w:val="21"/>
              </w:rPr>
            </w:pPr>
          </w:p>
        </w:tc>
        <w:tc>
          <w:tcPr>
            <w:tcW w:w="851" w:type="dxa"/>
          </w:tcPr>
          <w:p>
            <w:pPr>
              <w:ind w:firstLine="0" w:firstLineChars="0"/>
              <w:rPr>
                <w:rFonts w:ascii="宋体" w:hAnsi="宋体" w:eastAsia="宋体" w:cs="仿宋_GB2312"/>
                <w:bCs/>
                <w:sz w:val="21"/>
                <w:szCs w:val="21"/>
              </w:rPr>
            </w:pPr>
            <w:r>
              <w:rPr>
                <w:rFonts w:ascii="宋体" w:hAnsi="宋体" w:eastAsia="宋体"/>
                <w:sz w:val="21"/>
                <w:szCs w:val="21"/>
              </w:rPr>
              <w:t>DWDBQKXXB</w:t>
            </w:r>
          </w:p>
        </w:tc>
        <w:tc>
          <w:tcPr>
            <w:tcW w:w="1276" w:type="dxa"/>
          </w:tcPr>
          <w:p>
            <w:pPr>
              <w:ind w:firstLine="0" w:firstLineChars="0"/>
              <w:rPr>
                <w:rFonts w:ascii="宋体" w:hAnsi="宋体" w:eastAsia="宋体" w:cs="仿宋_GB2312"/>
                <w:bCs/>
                <w:sz w:val="21"/>
                <w:szCs w:val="21"/>
              </w:rPr>
            </w:pPr>
            <w:r>
              <w:rPr>
                <w:rFonts w:ascii="宋体" w:hAnsi="宋体" w:eastAsia="宋体"/>
                <w:sz w:val="21"/>
                <w:szCs w:val="21"/>
              </w:rPr>
              <w:t>对外担保情况信息表</w:t>
            </w:r>
          </w:p>
        </w:tc>
        <w:tc>
          <w:tcPr>
            <w:tcW w:w="850" w:type="dxa"/>
            <w:vAlign w:val="center"/>
          </w:tcPr>
          <w:p>
            <w:pPr>
              <w:ind w:firstLine="0" w:firstLineChars="0"/>
              <w:rPr>
                <w:rFonts w:ascii="宋体" w:hAnsi="宋体" w:eastAsia="宋体" w:cs="仿宋_GB2312"/>
                <w:bCs/>
                <w:sz w:val="21"/>
                <w:szCs w:val="21"/>
              </w:rPr>
            </w:pPr>
            <w:r>
              <w:rPr>
                <w:rFonts w:hint="eastAsia" w:ascii="宋体" w:hAnsi="宋体" w:eastAsia="宋体" w:cs="仿宋_GB2312"/>
                <w:bCs/>
                <w:sz w:val="21"/>
                <w:szCs w:val="21"/>
              </w:rPr>
              <w:t>E</w:t>
            </w:r>
            <w:r>
              <w:rPr>
                <w:rFonts w:ascii="宋体" w:hAnsi="宋体" w:eastAsia="宋体" w:cs="仿宋_GB2312"/>
                <w:bCs/>
                <w:sz w:val="21"/>
                <w:szCs w:val="21"/>
              </w:rPr>
              <w:t>0102</w:t>
            </w:r>
          </w:p>
        </w:tc>
        <w:tc>
          <w:tcPr>
            <w:tcW w:w="3594" w:type="dxa"/>
            <w:vAlign w:val="center"/>
          </w:tcPr>
          <w:p>
            <w:pPr>
              <w:ind w:firstLine="0" w:firstLineChars="0"/>
              <w:rPr>
                <w:rFonts w:ascii="宋体" w:hAnsi="宋体" w:eastAsia="宋体" w:cs="仿宋_GB2312"/>
                <w:bCs/>
                <w:sz w:val="21"/>
                <w:szCs w:val="21"/>
              </w:rPr>
            </w:pPr>
            <w:r>
              <w:rPr>
                <w:rFonts w:hint="eastAsia" w:ascii="宋体" w:hAnsi="宋体" w:eastAsia="宋体"/>
                <w:color w:val="000000"/>
                <w:sz w:val="21"/>
                <w:szCs w:val="21"/>
              </w:rPr>
              <w:t>本表报送保险集团（控股）公司及子公司对外担保信息。</w:t>
            </w:r>
          </w:p>
        </w:tc>
      </w:tr>
    </w:tbl>
    <w:p>
      <w:pPr>
        <w:ind w:firstLine="0" w:firstLineChars="0"/>
        <w:rPr>
          <w:rFonts w:cs="仿宋_GB2312"/>
          <w:color w:val="000000" w:themeColor="text1"/>
          <w:szCs w:val="30"/>
          <w14:textFill>
            <w14:solidFill>
              <w14:schemeClr w14:val="tx1"/>
            </w14:solidFill>
          </w14:textFill>
        </w:rPr>
      </w:pPr>
    </w:p>
    <w:p>
      <w:pPr>
        <w:keepNext/>
        <w:keepLines/>
        <w:numPr>
          <w:ilvl w:val="0"/>
          <w:numId w:val="1"/>
        </w:numPr>
        <w:ind w:left="0" w:firstLine="600" w:firstLineChars="0"/>
        <w:outlineLvl w:val="0"/>
        <w:rPr>
          <w:rFonts w:ascii="黑体" w:hAnsi="黑体" w:eastAsia="黑体"/>
          <w:kern w:val="44"/>
          <w:szCs w:val="30"/>
        </w:rPr>
      </w:pPr>
      <w:bookmarkStart w:id="61" w:name="_Toc19317"/>
      <w:bookmarkStart w:id="62" w:name="_Toc14514"/>
      <w:bookmarkStart w:id="63" w:name="_Toc32744"/>
      <w:bookmarkStart w:id="64" w:name="_Toc10922"/>
      <w:bookmarkStart w:id="65" w:name="_Toc1046"/>
      <w:bookmarkStart w:id="66" w:name="_Toc23875"/>
      <w:bookmarkStart w:id="67" w:name="_Toc23747"/>
      <w:bookmarkStart w:id="68" w:name="_Toc1073"/>
      <w:bookmarkStart w:id="69" w:name="_Toc12004"/>
      <w:bookmarkStart w:id="70" w:name="_Toc23586"/>
      <w:bookmarkStart w:id="71" w:name="_Toc5760"/>
      <w:bookmarkStart w:id="72" w:name="_Toc10556"/>
      <w:bookmarkStart w:id="73" w:name="_Toc3834"/>
      <w:bookmarkStart w:id="74" w:name="_Toc13528"/>
      <w:bookmarkStart w:id="75" w:name="_Toc22274"/>
      <w:bookmarkStart w:id="76" w:name="_Toc16745"/>
      <w:bookmarkStart w:id="77" w:name="_Toc23769"/>
      <w:bookmarkStart w:id="78" w:name="_Toc23342"/>
      <w:bookmarkStart w:id="79" w:name="_Toc10549"/>
      <w:bookmarkStart w:id="80" w:name="_Toc5557"/>
      <w:bookmarkStart w:id="81" w:name="_Toc6133"/>
      <w:bookmarkStart w:id="82" w:name="_Toc3576"/>
      <w:bookmarkStart w:id="83" w:name="_Toc4985"/>
      <w:bookmarkStart w:id="84" w:name="_Toc7534"/>
      <w:bookmarkStart w:id="85" w:name="_Toc30137"/>
      <w:bookmarkStart w:id="86" w:name="_Toc24187"/>
      <w:bookmarkStart w:id="87" w:name="_Toc57476175"/>
      <w:bookmarkStart w:id="88" w:name="_Toc8138"/>
      <w:bookmarkStart w:id="89" w:name="_Toc2509"/>
      <w:bookmarkStart w:id="90" w:name="_Toc3917"/>
      <w:bookmarkStart w:id="91" w:name="_Toc4443"/>
      <w:bookmarkStart w:id="92" w:name="_Toc27300"/>
      <w:bookmarkStart w:id="93" w:name="_Toc4413"/>
      <w:bookmarkStart w:id="94" w:name="_Toc57495013"/>
      <w:bookmarkStart w:id="95" w:name="_Toc12015"/>
      <w:bookmarkStart w:id="96" w:name="_Toc98147814"/>
      <w:bookmarkStart w:id="97" w:name="_Toc12239"/>
      <w:bookmarkStart w:id="98" w:name="_Toc73958560"/>
      <w:bookmarkStart w:id="99" w:name="_Toc5398"/>
      <w:bookmarkStart w:id="100" w:name="_Toc30063"/>
      <w:bookmarkStart w:id="101" w:name="_Toc22181"/>
      <w:bookmarkStart w:id="102" w:name="_Toc26438"/>
      <w:bookmarkStart w:id="103" w:name="_Toc15982"/>
      <w:bookmarkStart w:id="104" w:name="_Toc1948"/>
      <w:r>
        <w:rPr>
          <w:rFonts w:hint="eastAsia" w:ascii="黑体" w:hAnsi="黑体" w:eastAsia="黑体"/>
          <w:kern w:val="44"/>
          <w:szCs w:val="30"/>
        </w:rPr>
        <w:t>数据</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黑体" w:hAnsi="黑体" w:eastAsia="黑体"/>
          <w:kern w:val="44"/>
          <w:szCs w:val="30"/>
        </w:rPr>
        <w:t>项</w:t>
      </w:r>
      <w:bookmarkEnd w:id="86"/>
      <w:bookmarkEnd w:id="87"/>
      <w:bookmarkEnd w:id="88"/>
      <w:bookmarkEnd w:id="89"/>
      <w:bookmarkEnd w:id="90"/>
      <w:bookmarkEnd w:id="91"/>
      <w:bookmarkEnd w:id="92"/>
      <w:bookmarkEnd w:id="93"/>
      <w:bookmarkEnd w:id="94"/>
      <w:r>
        <w:rPr>
          <w:rFonts w:hint="eastAsia" w:ascii="黑体" w:hAnsi="黑体" w:eastAsia="黑体"/>
          <w:kern w:val="44"/>
          <w:szCs w:val="30"/>
        </w:rPr>
        <w:t>描述</w:t>
      </w:r>
      <w:bookmarkEnd w:id="95"/>
      <w:bookmarkEnd w:id="96"/>
      <w:bookmarkEnd w:id="97"/>
      <w:bookmarkEnd w:id="98"/>
      <w:bookmarkEnd w:id="99"/>
      <w:bookmarkEnd w:id="100"/>
      <w:bookmarkEnd w:id="101"/>
      <w:bookmarkEnd w:id="102"/>
      <w:bookmarkEnd w:id="103"/>
      <w:bookmarkEnd w:id="104"/>
    </w:p>
    <w:p>
      <w:pPr>
        <w:pStyle w:val="3"/>
        <w:numPr>
          <w:ilvl w:val="0"/>
          <w:numId w:val="6"/>
        </w:numPr>
        <w:ind w:left="0"/>
        <w:rPr>
          <w:szCs w:val="30"/>
        </w:rPr>
      </w:pPr>
      <w:bookmarkStart w:id="105" w:name="_Toc31209"/>
      <w:bookmarkStart w:id="106" w:name="_Toc57476176"/>
      <w:bookmarkStart w:id="107" w:name="_Toc20977"/>
      <w:bookmarkStart w:id="108" w:name="_Toc57495014"/>
      <w:bookmarkStart w:id="109" w:name="_Toc32683"/>
      <w:bookmarkStart w:id="110" w:name="_Toc98147815"/>
      <w:bookmarkStart w:id="111" w:name="_Toc24545"/>
      <w:bookmarkStart w:id="112" w:name="_Toc30238"/>
      <w:bookmarkStart w:id="113" w:name="_Toc30246"/>
      <w:bookmarkStart w:id="114" w:name="_Toc24536"/>
      <w:bookmarkStart w:id="115" w:name="_Toc19506"/>
      <w:bookmarkStart w:id="116" w:name="_Toc73958561"/>
      <w:bookmarkStart w:id="117" w:name="_Toc30029"/>
      <w:bookmarkStart w:id="118" w:name="_Toc25645"/>
      <w:r>
        <w:rPr>
          <w:rFonts w:hint="eastAsia"/>
          <w:szCs w:val="30"/>
        </w:rPr>
        <w:t>公司治理</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4"/>
        <w:tabs>
          <w:tab w:val="left" w:pos="709"/>
          <w:tab w:val="left" w:pos="993"/>
        </w:tabs>
        <w:ind w:left="0" w:firstLine="600"/>
      </w:pPr>
      <w:bookmarkStart w:id="119" w:name="_Toc16592"/>
      <w:bookmarkStart w:id="120" w:name="_Toc57538956"/>
      <w:bookmarkStart w:id="121" w:name="_Toc986"/>
      <w:bookmarkStart w:id="122" w:name="_Toc11585"/>
      <w:bookmarkStart w:id="123" w:name="_Toc17798"/>
      <w:bookmarkStart w:id="124" w:name="_Toc10810"/>
      <w:bookmarkStart w:id="125" w:name="_Toc73958564"/>
      <w:bookmarkStart w:id="126" w:name="_Toc57476358"/>
      <w:bookmarkStart w:id="127" w:name="_Toc17954"/>
      <w:bookmarkStart w:id="128" w:name="_Toc23940"/>
      <w:bookmarkStart w:id="129" w:name="_Toc14706"/>
      <w:bookmarkStart w:id="130" w:name="_Toc57476177"/>
      <w:bookmarkStart w:id="131" w:name="_Toc15512"/>
      <w:bookmarkStart w:id="132" w:name="_Toc28525"/>
      <w:bookmarkStart w:id="133" w:name="_Toc5838"/>
      <w:bookmarkStart w:id="134" w:name="_Toc57538954"/>
      <w:bookmarkStart w:id="135" w:name="_Toc73958562"/>
      <w:bookmarkStart w:id="136" w:name="_Toc28416"/>
      <w:bookmarkStart w:id="137" w:name="_Toc57477515"/>
      <w:bookmarkStart w:id="138" w:name="_Toc57495031"/>
      <w:r>
        <w:rPr>
          <w:rFonts w:hint="eastAsia" w:ascii="仿宋" w:hAnsi="仿宋" w:eastAsia="仿宋"/>
        </w:rPr>
        <w:t>集团架构</w:t>
      </w:r>
      <w:bookmarkEnd w:id="119"/>
      <w:bookmarkEnd w:id="120"/>
      <w:bookmarkEnd w:id="121"/>
      <w:bookmarkEnd w:id="122"/>
      <w:bookmarkEnd w:id="123"/>
      <w:bookmarkEnd w:id="124"/>
      <w:bookmarkEnd w:id="125"/>
      <w:bookmarkEnd w:id="126"/>
      <w:bookmarkEnd w:id="127"/>
    </w:p>
    <w:p>
      <w:pPr>
        <w:keepNext/>
        <w:keepLines/>
        <w:numPr>
          <w:ilvl w:val="1"/>
          <w:numId w:val="7"/>
        </w:numPr>
        <w:ind w:firstLineChars="0"/>
        <w:outlineLvl w:val="3"/>
        <w:rPr>
          <w:rFonts w:ascii="仿宋" w:hAnsi="仿宋" w:eastAsia="仿宋"/>
          <w:b/>
        </w:rPr>
      </w:pPr>
      <w:r>
        <w:rPr>
          <w:rFonts w:hint="eastAsia" w:ascii="仿宋" w:hAnsi="仿宋" w:eastAsia="仿宋"/>
          <w:b/>
        </w:rPr>
        <w:t>集团成员公司关系图谱</w:t>
      </w:r>
    </w:p>
    <w:tbl>
      <w:tblPr>
        <w:tblStyle w:val="25"/>
        <w:tblW w:w="8824" w:type="dxa"/>
        <w:tblInd w:w="0" w:type="dxa"/>
        <w:tblLayout w:type="fixed"/>
        <w:tblCellMar>
          <w:top w:w="0" w:type="dxa"/>
          <w:left w:w="108" w:type="dxa"/>
          <w:bottom w:w="0" w:type="dxa"/>
          <w:right w:w="108" w:type="dxa"/>
        </w:tblCellMar>
      </w:tblPr>
      <w:tblGrid>
        <w:gridCol w:w="1549"/>
        <w:gridCol w:w="1417"/>
        <w:gridCol w:w="992"/>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41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JTCYGSGXTP</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集团成员公司关系图谱</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w:t>
            </w:r>
            <w:r>
              <w:rPr>
                <w:rFonts w:ascii="宋体" w:hAnsi="宋体" w:eastAsia="宋体" w:cs="宋体"/>
                <w:color w:val="000000"/>
                <w:kern w:val="0"/>
                <w:sz w:val="21"/>
                <w:szCs w:val="21"/>
              </w:rPr>
              <w:t>1</w:t>
            </w:r>
            <w:r>
              <w:rPr>
                <w:rFonts w:hint="eastAsia" w:ascii="宋体" w:hAnsi="宋体" w:eastAsia="宋体" w:cs="宋体"/>
                <w:color w:val="000000"/>
                <w:kern w:val="0"/>
                <w:sz w:val="21"/>
                <w:szCs w:val="21"/>
              </w:rPr>
              <w:t>01</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成员公司关系（含非法人机构），数据报送以填报机构为最前一层逐步向后扩展；两个成员公司之间同时相互持股时，应分别填报；对于同一持有关系，填报一个方向即可。根节点数据无需报送。</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成员公司名称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CY_MC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成员公司工商注册的名称。若为非法人机构，填报有关部门批准正式使用的全称。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下一层成员公司名称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XYCCYGSMC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下一层成员公司工商注册的名称。若为非法人机构，填报有关部门批准正式使用的全称。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下一层成员公司代码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XYCCYGSDM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004002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填写法人或其他组织的统一社会信用代码等有效代码。如无上述代码，机构可自行定义。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持有比例</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CYBL</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填报持有下一层成员公司权益份额的比例，填数字，不填百分比，最少保留两位小数，比如12.34%填写为12.34</w:t>
            </w:r>
            <w:r>
              <w:rPr>
                <w:rFonts w:ascii="宋体" w:hAnsi="宋体" w:eastAsia="宋体" w:cs="宋体"/>
                <w:color w:val="000000"/>
                <w:kern w:val="0"/>
                <w:sz w:val="21"/>
                <w:szCs w:val="21"/>
              </w:rPr>
              <w:t>。</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该关系是否仍然有效</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GGXSFRRYX</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生效日期</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SXRQ</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该关系生效的时间。YYYYMMDD。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失效日期</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SXRQ2</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该关系失效的时间。YYYYMMDD。当“该关系是否仍然有效”为“否”时，失效日期字段为必填。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bookmarkEnd w:id="128"/>
    <w:bookmarkEnd w:id="129"/>
    <w:bookmarkEnd w:id="130"/>
    <w:bookmarkEnd w:id="131"/>
    <w:bookmarkEnd w:id="132"/>
    <w:bookmarkEnd w:id="133"/>
    <w:bookmarkEnd w:id="134"/>
    <w:bookmarkEnd w:id="135"/>
    <w:bookmarkEnd w:id="136"/>
    <w:p>
      <w:pPr>
        <w:pStyle w:val="4"/>
        <w:tabs>
          <w:tab w:val="left" w:pos="709"/>
          <w:tab w:val="left" w:pos="993"/>
        </w:tabs>
        <w:ind w:left="0" w:firstLine="600"/>
      </w:pPr>
      <w:r>
        <w:rPr>
          <w:rFonts w:hint="eastAsia" w:ascii="仿宋" w:hAnsi="仿宋" w:eastAsia="仿宋"/>
          <w:szCs w:val="30"/>
        </w:rPr>
        <w:t>保险集团（控股）公司</w:t>
      </w:r>
    </w:p>
    <w:p>
      <w:pPr>
        <w:keepNext/>
        <w:keepLines/>
        <w:numPr>
          <w:ilvl w:val="1"/>
          <w:numId w:val="7"/>
        </w:numPr>
        <w:ind w:firstLineChars="0"/>
        <w:outlineLvl w:val="3"/>
        <w:rPr>
          <w:rFonts w:ascii="仿宋" w:hAnsi="仿宋" w:eastAsia="仿宋"/>
          <w:b/>
        </w:rPr>
      </w:pPr>
      <w:r>
        <w:rPr>
          <w:rFonts w:hint="eastAsia" w:ascii="仿宋" w:hAnsi="仿宋" w:eastAsia="仿宋"/>
          <w:b/>
        </w:rPr>
        <w:t>机构信息表</w:t>
      </w:r>
    </w:p>
    <w:tbl>
      <w:tblPr>
        <w:tblStyle w:val="25"/>
        <w:tblW w:w="8824" w:type="dxa"/>
        <w:tblInd w:w="0" w:type="dxa"/>
        <w:tblLayout w:type="fixed"/>
        <w:tblCellMar>
          <w:top w:w="0" w:type="dxa"/>
          <w:left w:w="108" w:type="dxa"/>
          <w:bottom w:w="0" w:type="dxa"/>
          <w:right w:w="108" w:type="dxa"/>
        </w:tblCellMar>
      </w:tblPr>
      <w:tblGrid>
        <w:gridCol w:w="1408"/>
        <w:gridCol w:w="1354"/>
        <w:gridCol w:w="872"/>
        <w:gridCol w:w="3727"/>
        <w:gridCol w:w="821"/>
        <w:gridCol w:w="642"/>
      </w:tblGrid>
      <w:tr>
        <w:tblPrEx>
          <w:tblCellMar>
            <w:top w:w="0" w:type="dxa"/>
            <w:left w:w="108" w:type="dxa"/>
            <w:bottom w:w="0" w:type="dxa"/>
            <w:right w:w="108" w:type="dxa"/>
          </w:tblCellMar>
        </w:tblPrEx>
        <w:trPr>
          <w:trHeight w:val="290" w:hRule="atLeast"/>
        </w:trPr>
        <w:tc>
          <w:tcPr>
            <w:tcW w:w="140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5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7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90"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JGXXB</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机构信息表</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01</w:t>
            </w:r>
          </w:p>
        </w:tc>
        <w:tc>
          <w:tcPr>
            <w:tcW w:w="5190"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本表报送保险集团（控股）公司注册信息。</w:t>
            </w:r>
          </w:p>
        </w:tc>
      </w:tr>
      <w:tr>
        <w:tblPrEx>
          <w:tblCellMar>
            <w:top w:w="0" w:type="dxa"/>
            <w:left w:w="108" w:type="dxa"/>
            <w:bottom w:w="0" w:type="dxa"/>
            <w:right w:w="108" w:type="dxa"/>
          </w:tblCellMar>
        </w:tblPrEx>
        <w:trPr>
          <w:trHeight w:val="7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10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LEI编码</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LEIBM</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机构的全球法人识别编码（LEI），法人识别编码是按照国际标准化组织的《金融服务法人机构识别编码》（ISO17442：2012）标准为法人机构分配的由20位数字和字母组成的唯一编码，可以用于标识与国际金融交易相关联的法人机构。</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工商注册日期</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GSZCRQ</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以工商注册的成立日期为准。</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批复日期</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PFRQ</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填报保险集团（控股）公司开业批复文件的日期。</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批复文号</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PFWH</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001006</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填报保险集团（控股）公司开业批复文件的文号。</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经营范围</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JYFW</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001007</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应与工商注册中的经营范围一致。</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注册资本</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cs="宋体"/>
                <w:color w:val="000000"/>
                <w:kern w:val="0"/>
                <w:sz w:val="21"/>
                <w:szCs w:val="21"/>
              </w:rPr>
              <w:t>ZCZB</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应与工商注册中的注册资本一致。若注册资本存在外币的情况，公司应自行换算成人民币进行填报。单位：元。</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注册地区</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ZCDQ</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001017</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参照《业务代码表》中的“行政区划代码”，填报代码。</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注册地址</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ZCDZ</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001009</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按照工商注册信息中的注册地填报。</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是否有分支机构</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SFYFZJG</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法定代表人法定名称</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JT_FDDBRFDMC</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填写法定代表人姓名，应与工商注册的姓名一致。</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法定代表人证件类型</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JT_FDDBRZJLX</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法定代表人证件类型，参照《业务代码表》中的“证件类型代码”，填报代码。</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法定代表人证件号码</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JT_FDDBRZJHM</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法定代表人证件号码。隐私，保险集团（控股）公司变形。</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法定代表人证件到期日</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JT_FDDBRZJDQR</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法定代表人证件到期日。</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是否有实际控制人</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SFYSJKZR</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实际控制人指通过投资关系、协议或者其他安排，能够实际支配公司行为的人。参照《业务代码表》中的“是否判断代码”，填报代码。</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实际控制人类型</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SJKZRLX</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001014</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参照《业务代码表》中的“实际控制人类型代码”，填报代码。</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实际控制人法定名称</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JT_SJKZRFDMC</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“是否有实际控制人”为“是”时必填。填报实际控制人名称。</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实际控制人证件类型</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JT_SJKZRZJLX</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“是否有实际控制人”为“是”时必填。填报实际控制人证件类型。对自然人，优先选填控制人居民身份证；对机构，优先选填统一社会信用代码。参照《业务代码表》中的“证件类型代码”，填报代码。</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实际控制人证件号码</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JT_SJKZRZJHM</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“是否有实际控制人”为“是”时必填。填报有效证件号码。若为自然人证件号码，隐私，保险集团（控股）公司变形。</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实际控制人证件到期日</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JT_SJKZRZJDQR</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实际控制人证件到期日。</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许可证发放日期</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XKZFFRQ</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保险许可证号的发放日期。</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许可证注销日期</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XKZZXRQ</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保险许可证号的注销日期，如未注销，填写默认值99991231。</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3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7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7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82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64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股权信息表</w:t>
      </w:r>
    </w:p>
    <w:tbl>
      <w:tblPr>
        <w:tblStyle w:val="25"/>
        <w:tblW w:w="8824" w:type="dxa"/>
        <w:tblInd w:w="0" w:type="dxa"/>
        <w:tblLayout w:type="fixed"/>
        <w:tblCellMar>
          <w:top w:w="0" w:type="dxa"/>
          <w:left w:w="108" w:type="dxa"/>
          <w:bottom w:w="0" w:type="dxa"/>
          <w:right w:w="108" w:type="dxa"/>
        </w:tblCellMar>
      </w:tblPr>
      <w:tblGrid>
        <w:gridCol w:w="1408"/>
        <w:gridCol w:w="1276"/>
        <w:gridCol w:w="990"/>
        <w:gridCol w:w="3687"/>
        <w:gridCol w:w="708"/>
        <w:gridCol w:w="755"/>
      </w:tblGrid>
      <w:tr>
        <w:tblPrEx>
          <w:tblCellMar>
            <w:top w:w="0" w:type="dxa"/>
            <w:left w:w="108" w:type="dxa"/>
            <w:bottom w:w="0" w:type="dxa"/>
            <w:right w:w="108" w:type="dxa"/>
          </w:tblCellMar>
        </w:tblPrEx>
        <w:trPr>
          <w:trHeight w:val="290" w:hRule="atLeast"/>
        </w:trPr>
        <w:tc>
          <w:tcPr>
            <w:tcW w:w="140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90"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50"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GQXXB</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股权信息表</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02</w:t>
            </w:r>
          </w:p>
        </w:tc>
        <w:tc>
          <w:tcPr>
            <w:tcW w:w="5150"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本表报送保险集团（控股）公司股权组成信息，对于上市公司仅报送持股5%及以上的机构及个人股东信息。</w:t>
            </w:r>
          </w:p>
        </w:tc>
      </w:tr>
      <w:tr>
        <w:tblPrEx>
          <w:tblCellMar>
            <w:top w:w="0" w:type="dxa"/>
            <w:left w:w="108" w:type="dxa"/>
            <w:bottom w:w="0" w:type="dxa"/>
            <w:right w:w="108" w:type="dxa"/>
          </w:tblCellMar>
        </w:tblPrEx>
        <w:trPr>
          <w:trHeight w:val="7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股东编号</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GDBH</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公司内部自行定义的股东编号，应具有唯一性。</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股东法定名称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JT_GDFDMC</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对自然人股东，为股东姓名；对法人股东，为股东经有关部门批准正式使用的机构全称。</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股东证件类型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JT_GDZJLX</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对自然人，优先选填股东居民身份证；对机构，优先选填统一社会信用代码。参照《业务代码表》中的“证件类型代码”，填报代码。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股东证件号码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JT_GDZJHM</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填写有效证件号码。若为自然人证件号码，隐私，保险集团（控股）公司变形。</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股东证件到期日</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JT_GDZJDQR</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股东证件到期日。</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股东类型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GDLX</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001020</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按《保险公司股权管理办法》的股东分类填报。参照《业务代码表》中的“股东类型代码”，填报代码。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股东类别</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GDLB</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按照股东自然人或机构属性。参照《业务代码表》中的“股东类别代码”，填报代码。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股东国别</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GDGB</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参照《业务代码表》中的“国家地区”，填报代码。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LEI编码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LEIBM</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股东机构的全球法人机构识别编码，LEI是按照国际标准化组织ISO 17442标准为全球法人分配的唯一识别编码，LEI编码是由20位数字和字母组成的唯一编码。我国LEI编码包括前缀码部分、预留位部分、机构特定部分和校验位四部分。</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行业类型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HYFL</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001024</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股东为非自然人时，必填。按股东所从事的生产经营活动或其他社会经济活动的性质进行行业分类，参照《业务代码表》中的“行业类型代码”，填报代码。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持股比例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CGBL</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股东在数据日期当日的持股比例，填数字，不填百分比，最少保留两位小数，比如12.34%填写为12.34。</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出资日期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CZRQ</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该股东最近一次持股份额变化的日期。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交易币种</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交易币认缴金额</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JYBRJJE</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交易币认缴金额。</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本位币认缴金额</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BWBRJJE</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交易币按照既定规则的汇率折成的本位币认缴金额。单位：元。</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交易币出资金额</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JYBCZJE</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交易币出资金额。</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本位币出资金额</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BWBCZJE</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交易币按照既定规则的汇率折成的本位币出资金额。单位：元。</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股东是否有效</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GDSFYX</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是否有一致行动人</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SFYYZXDR</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一致行动人是指投资者通过协议、其他安排，与其他投资者共同扩大其所能够支配的一个公司股份表决权数量的行为或者事实。达成一致行动的相关投资者，为一致行动人。</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一致行动人组别</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YZXDRZB</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一致行动人为“是”时为必填。组别用数字填写。例如公司有6个股东，分别是A、B、C、D、E、F，其中A、B、C三方为一致行动人，D、E两方为另一组一致行动人，则A、B、C的一致行动人组别填写1，D、E的一致行动人组别填写2。</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股权质押数量</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GQZYSL</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001040</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截至报送日期，股东质押的股份数量。单位：股。若无抵押，则填0。</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股权质押比例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GQZYBL</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截至报送日期，股东质押的股份数量占持股数量的比例，填数字，不填百分比，最少保留两位小数，比如12.34%填写为12.34。若无抵押，则填0。</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股权冻结数量</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GQDJSL</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001040</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截至报送日期，股权冻结的股份数量。单位：股。若无冻结，则填0。</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股权冻结比例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GQDJBL</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截至报送日期，股东股权冻结的股份数量占持股数量的比例，填数字，不填百分比，最少保留两位小数，比如12.34%填写为12.34。若无抵押，则填0。</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9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8"/>
        </w:numPr>
        <w:ind w:firstLineChars="0"/>
        <w:outlineLvl w:val="3"/>
        <w:rPr>
          <w:rFonts w:ascii="仿宋" w:hAnsi="仿宋" w:eastAsia="仿宋"/>
          <w:b/>
        </w:rPr>
      </w:pPr>
      <w:r>
        <w:rPr>
          <w:rFonts w:hint="eastAsia" w:ascii="仿宋" w:hAnsi="仿宋" w:eastAsia="仿宋"/>
          <w:b/>
        </w:rPr>
        <w:t>机构处罚信息表</w:t>
      </w:r>
    </w:p>
    <w:tbl>
      <w:tblPr>
        <w:tblStyle w:val="25"/>
        <w:tblW w:w="8824" w:type="dxa"/>
        <w:tblInd w:w="0" w:type="dxa"/>
        <w:tblLayout w:type="fixed"/>
        <w:tblCellMar>
          <w:top w:w="0" w:type="dxa"/>
          <w:left w:w="108" w:type="dxa"/>
          <w:bottom w:w="0" w:type="dxa"/>
          <w:right w:w="108" w:type="dxa"/>
        </w:tblCellMar>
      </w:tblPr>
      <w:tblGrid>
        <w:gridCol w:w="1406"/>
        <w:gridCol w:w="1278"/>
        <w:gridCol w:w="849"/>
        <w:gridCol w:w="3828"/>
        <w:gridCol w:w="708"/>
        <w:gridCol w:w="755"/>
      </w:tblGrid>
      <w:tr>
        <w:tblPrEx>
          <w:tblCellMar>
            <w:top w:w="0" w:type="dxa"/>
            <w:left w:w="108" w:type="dxa"/>
            <w:bottom w:w="0" w:type="dxa"/>
            <w:right w:w="108" w:type="dxa"/>
          </w:tblCellMar>
        </w:tblPrEx>
        <w:trPr>
          <w:trHeight w:val="290" w:hRule="atLeast"/>
        </w:trPr>
        <w:tc>
          <w:tcPr>
            <w:tcW w:w="140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4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9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JGCFXXB</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机构处罚信息表</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3</w:t>
            </w:r>
          </w:p>
        </w:tc>
        <w:tc>
          <w:tcPr>
            <w:tcW w:w="529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本表报送保险集团（控股）公司的处罚信息。</w:t>
            </w:r>
          </w:p>
        </w:tc>
      </w:tr>
      <w:tr>
        <w:tblPrEx>
          <w:tblCellMar>
            <w:top w:w="0" w:type="dxa"/>
            <w:left w:w="108" w:type="dxa"/>
            <w:bottom w:w="0" w:type="dxa"/>
            <w:right w:w="108" w:type="dxa"/>
          </w:tblCellMar>
        </w:tblPrEx>
        <w:trPr>
          <w:trHeight w:val="7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负责人代码</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FZRDM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受处罚时机构实际经营负责人代码，对应到员工信息表的员工代码数据项。关联数据项：《员工信息表》-“员工代码”。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处罚机关</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CFJG</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发布该人员处罚决定的，依法有权或受托实施行政处罚的监管机构主体的规范全称；包括但不限于受到人民银行、银保监会、银保监局、政府执法部门等机关的行政处罚。</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处罚文号</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CFWH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填写行政处罚机关的处罚文号。</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开始日期</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KSRQ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填报处罚开始日期。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结束日期</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JSRQ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填报处罚结束日期，存在罚款等处罚无持续时间的情况，开始和结束日期填报同一天。</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处罚原因</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CFYY</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001039</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处罚原因的文字描述，若有处罚决定书，填写处罚决定书内容。</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处罚决定</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CFJD</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001039</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处罚决定的文字描述，若有处罚决定书，填写处罚决定书内容。</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处罚金额</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对机构的处罚金额，以人民币填报，单位：元。如处罚当事人包括个人和机构，合并计算报送。无处罚时上报</w:t>
            </w:r>
            <w:r>
              <w:rPr>
                <w:rFonts w:ascii="宋体" w:hAnsi="宋体" w:eastAsia="宋体"/>
                <w:color w:val="000000"/>
                <w:sz w:val="21"/>
                <w:szCs w:val="21"/>
              </w:rPr>
              <w:t>0。</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9"/>
        </w:numPr>
        <w:ind w:firstLineChars="0"/>
        <w:outlineLvl w:val="3"/>
        <w:rPr>
          <w:rFonts w:ascii="仿宋" w:hAnsi="仿宋" w:eastAsia="仿宋"/>
          <w:b/>
        </w:rPr>
      </w:pPr>
      <w:r>
        <w:rPr>
          <w:rFonts w:hint="eastAsia" w:ascii="仿宋" w:hAnsi="仿宋" w:eastAsia="仿宋"/>
          <w:b/>
        </w:rPr>
        <w:t>员工信息表</w:t>
      </w:r>
    </w:p>
    <w:tbl>
      <w:tblPr>
        <w:tblStyle w:val="25"/>
        <w:tblW w:w="8824" w:type="dxa"/>
        <w:tblInd w:w="0" w:type="dxa"/>
        <w:tblLayout w:type="fixed"/>
        <w:tblCellMar>
          <w:top w:w="0" w:type="dxa"/>
          <w:left w:w="108" w:type="dxa"/>
          <w:bottom w:w="0" w:type="dxa"/>
          <w:right w:w="108" w:type="dxa"/>
        </w:tblCellMar>
      </w:tblPr>
      <w:tblGrid>
        <w:gridCol w:w="1549"/>
        <w:gridCol w:w="1276"/>
        <w:gridCol w:w="851"/>
        <w:gridCol w:w="3687"/>
        <w:gridCol w:w="709"/>
        <w:gridCol w:w="752"/>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YGXXB</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4</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本表报送保险集团（控股）公司所有与公司签订劳动合同的员工信息，包括在岗和离职员工。董事、监事、高管等人员信息应包含在内。</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员工代码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保险集团（控股）公司自行定义的员工编号，具有唯一性。一般由英文字母、数字、常见字符组成。</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员工法定名称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员工有效身份证件上的姓名。隐私，保险集团（控股）公司变形。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员工证件类型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员工证件号码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身份证号、护照号等有效证件号码，隐私，保险集团（控股）公司变形。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性别</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XB</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001030</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参照《业务代码表》中的“性别代码”，填报代码。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民族</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MZ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001047</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员工的民族。国家认可的在公安户籍管理部门正式登记注册的客户所属民族。参照《业务代码表》中的“民族代码”，填报代码。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出生日期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员工出生日期。隐私，暂不取。保险集团（控股）公司需在本地保留原文数据，并报送99991231。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政治面貌</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ZZMM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保险集团（控股）公司员工的政治面貌。参照《业务代码表》中的“政治面貌代码”，填报代码。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参加政党日期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CJZDRQ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参加政党的日期。</w:t>
            </w:r>
            <w:r>
              <w:rPr>
                <w:rFonts w:ascii="宋体" w:hAnsi="宋体" w:eastAsia="宋体" w:cs="宋体"/>
                <w:color w:val="000000"/>
                <w:kern w:val="0"/>
                <w:sz w:val="21"/>
                <w:szCs w:val="21"/>
              </w:rPr>
              <w:t>YYYYMM，默认值999912。</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员工状态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YGZT</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参照《业务代码表》中的“员工状态代码”，填报代码。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员工编制</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参照《业务代码表》中的“员工编制代码”，填报代码。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联系电话</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LXDH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员工联系电话，区号-座机电话/手机。隐私，暂不取。保险集团（控股）公司需在本地保留原文数据，并报送“隐私”。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学历</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员工学历，参照《业务代码表》中的“学历代码”，填报代码。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DJGBZ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所属部门</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SSBM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“董监高标志”为“否”时必填。按公司内部规定名称填写。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岗位名称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GWMC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“董监高标志”为“否”时必填。按公司内部规定名称填写。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入司日期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RSRQ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“董监高标志”为“否”时必填。则填报最近一次签订劳动合同的日期，其他人员则填报任职开始日期。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离司日期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如董监高标志为员工，则填报离司日期，其他人员则填报任职结束日期，若未离司或仍在任职期则填默认值99991231。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10"/>
        </w:numPr>
        <w:ind w:firstLineChars="0"/>
        <w:outlineLvl w:val="3"/>
        <w:rPr>
          <w:rFonts w:ascii="仿宋" w:hAnsi="仿宋" w:eastAsia="仿宋"/>
          <w:b/>
        </w:rPr>
      </w:pPr>
      <w:r>
        <w:rPr>
          <w:rFonts w:hint="eastAsia" w:ascii="仿宋" w:hAnsi="仿宋" w:eastAsia="仿宋"/>
          <w:b/>
        </w:rPr>
        <w:t>员工问责信息表</w:t>
      </w:r>
    </w:p>
    <w:tbl>
      <w:tblPr>
        <w:tblStyle w:val="25"/>
        <w:tblW w:w="8824" w:type="dxa"/>
        <w:tblInd w:w="0" w:type="dxa"/>
        <w:tblLayout w:type="fixed"/>
        <w:tblCellMar>
          <w:top w:w="0" w:type="dxa"/>
          <w:left w:w="108" w:type="dxa"/>
          <w:bottom w:w="0" w:type="dxa"/>
          <w:right w:w="108" w:type="dxa"/>
        </w:tblCellMar>
      </w:tblPr>
      <w:tblGrid>
        <w:gridCol w:w="1408"/>
        <w:gridCol w:w="1371"/>
        <w:gridCol w:w="1038"/>
        <w:gridCol w:w="3544"/>
        <w:gridCol w:w="709"/>
        <w:gridCol w:w="754"/>
      </w:tblGrid>
      <w:tr>
        <w:tblPrEx>
          <w:tblCellMar>
            <w:top w:w="0" w:type="dxa"/>
            <w:left w:w="108" w:type="dxa"/>
            <w:bottom w:w="0" w:type="dxa"/>
            <w:right w:w="108" w:type="dxa"/>
          </w:tblCellMar>
        </w:tblPrEx>
        <w:trPr>
          <w:trHeight w:val="290" w:hRule="atLeast"/>
        </w:trPr>
        <w:tc>
          <w:tcPr>
            <w:tcW w:w="140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3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YGWZXXB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bookmarkStart w:id="139" w:name="_Hlk85717191"/>
            <w:r>
              <w:rPr>
                <w:rFonts w:hint="eastAsia" w:ascii="宋体" w:hAnsi="宋体" w:eastAsia="宋体" w:cs="宋体"/>
                <w:color w:val="000000"/>
                <w:kern w:val="0"/>
                <w:sz w:val="21"/>
                <w:szCs w:val="21"/>
              </w:rPr>
              <w:t>员工问责信息表</w:t>
            </w:r>
            <w:bookmarkEnd w:id="139"/>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5</w:t>
            </w:r>
          </w:p>
        </w:tc>
        <w:tc>
          <w:tcPr>
            <w:tcW w:w="500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本表报送保险集团（控股）公司所有与公司签订劳动合同的员工，因违法、违反党纪等被本机构公开问责的情况。人员包括董事、监事、高管及其他员工，同一人受到多次问责的应分别填报。</w:t>
            </w:r>
          </w:p>
        </w:tc>
      </w:tr>
      <w:tr>
        <w:tblPrEx>
          <w:tblCellMar>
            <w:top w:w="0" w:type="dxa"/>
            <w:left w:w="108" w:type="dxa"/>
            <w:bottom w:w="0" w:type="dxa"/>
            <w:right w:w="108" w:type="dxa"/>
          </w:tblCellMar>
        </w:tblPrEx>
        <w:trPr>
          <w:trHeight w:val="7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YGDM</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公司内部自行定义的员工工号或内部编码，具有唯一性。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被问责员工法定名称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JT_BWZYGFDMC</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被问责员工有效身份证件上的姓名。隐私，保险集团（控股）公司变形。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被问责员工证件类型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JT_BWZYGZJLX</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被问责员工证件号码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JT_BWZYGZJHM</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身份证号、护照号等有效证件号码，隐私，保险集团（控股）公司变形。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被问责员工证件到期日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JT_BWZYGZJDQR</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被问责员工证件到期日。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问责文号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cs="宋体"/>
                <w:color w:val="000000"/>
                <w:kern w:val="0"/>
                <w:sz w:val="21"/>
                <w:szCs w:val="21"/>
              </w:rPr>
              <w:t>WZWH</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填写问责文件的文号。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问责日期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WZRQ</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填写问责文件的发文日期。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问责原因</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WZYY</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问责原因的文字描述，填写问责决定书内容。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103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11"/>
        </w:numPr>
        <w:ind w:firstLineChars="0"/>
        <w:outlineLvl w:val="3"/>
        <w:rPr>
          <w:rFonts w:ascii="仿宋" w:hAnsi="仿宋" w:eastAsia="仿宋"/>
          <w:b/>
        </w:rPr>
      </w:pPr>
      <w:r>
        <w:rPr>
          <w:rFonts w:hint="eastAsia" w:ascii="仿宋" w:hAnsi="仿宋" w:eastAsia="仿宋"/>
          <w:b/>
        </w:rPr>
        <w:t>董监高履职信息表</w:t>
      </w:r>
    </w:p>
    <w:tbl>
      <w:tblPr>
        <w:tblStyle w:val="25"/>
        <w:tblW w:w="8824" w:type="dxa"/>
        <w:tblInd w:w="0" w:type="dxa"/>
        <w:tblLayout w:type="fixed"/>
        <w:tblCellMar>
          <w:top w:w="0" w:type="dxa"/>
          <w:left w:w="108" w:type="dxa"/>
          <w:bottom w:w="0" w:type="dxa"/>
          <w:right w:w="108" w:type="dxa"/>
        </w:tblCellMar>
      </w:tblPr>
      <w:tblGrid>
        <w:gridCol w:w="1408"/>
        <w:gridCol w:w="1133"/>
        <w:gridCol w:w="927"/>
        <w:gridCol w:w="3893"/>
        <w:gridCol w:w="709"/>
        <w:gridCol w:w="754"/>
      </w:tblGrid>
      <w:tr>
        <w:tblPrEx>
          <w:tblCellMar>
            <w:top w:w="0" w:type="dxa"/>
            <w:left w:w="108" w:type="dxa"/>
            <w:bottom w:w="0" w:type="dxa"/>
            <w:right w:w="108" w:type="dxa"/>
          </w:tblCellMar>
        </w:tblPrEx>
        <w:trPr>
          <w:trHeight w:val="290" w:hRule="atLeast"/>
        </w:trPr>
        <w:tc>
          <w:tcPr>
            <w:tcW w:w="140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13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2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35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DJGLZXXB</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bookmarkStart w:id="140" w:name="_Hlk85717954"/>
            <w:r>
              <w:rPr>
                <w:rFonts w:hint="eastAsia" w:ascii="宋体" w:hAnsi="宋体" w:eastAsia="宋体" w:cs="宋体"/>
                <w:color w:val="000000"/>
                <w:kern w:val="0"/>
                <w:sz w:val="21"/>
                <w:szCs w:val="21"/>
              </w:rPr>
              <w:t>董监高履职信息表</w:t>
            </w:r>
            <w:bookmarkEnd w:id="140"/>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6</w:t>
            </w:r>
          </w:p>
        </w:tc>
        <w:tc>
          <w:tcPr>
            <w:tcW w:w="535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本表报送保险集团（控股）公司董事、监事、高管范围人员的履职情况信息，如董事、监事、高管兼任多个职务，需要分开报送。</w:t>
            </w:r>
          </w:p>
        </w:tc>
      </w:tr>
      <w:tr>
        <w:tblPrEx>
          <w:tblCellMar>
            <w:top w:w="0" w:type="dxa"/>
            <w:left w:w="108" w:type="dxa"/>
            <w:bottom w:w="0" w:type="dxa"/>
            <w:right w:w="108" w:type="dxa"/>
          </w:tblCellMar>
        </w:tblPrEx>
        <w:trPr>
          <w:trHeight w:val="7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员工代码</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YGDM</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指《员工信息表》中公司内部自行定义的员工代码，具有唯一性。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员工法定名称</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JT_YGFDMC</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员工有效身份证件上的姓名。隐私，保险集团（控股）公司变形。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员工证件类型</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JT_YGZJLX</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员工证件号码</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JT_YGZJHM</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身份证号、护照号等有效证件号码，隐私，保险集团（控股）公司变形。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JT_YGZJDQR</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董监高类型</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cs="宋体"/>
                <w:color w:val="000000"/>
                <w:kern w:val="0"/>
                <w:sz w:val="21"/>
                <w:szCs w:val="21"/>
              </w:rPr>
              <w:t>DJGLX</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001043</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参照《业务代码表》中的“董监高类型代码”，填报代码。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批复日期</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PFRQ</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获得董事、监事、高管任职资格的批复日期。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批复文号</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PFWH</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获得董事、监事、高管任职资格的批复文号。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公司职务</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cs="宋体"/>
                <w:color w:val="000000"/>
                <w:kern w:val="0"/>
                <w:sz w:val="21"/>
                <w:szCs w:val="21"/>
              </w:rPr>
              <w:t>GSZW</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“董监高标志”含“高管”时必填，填报所管辖部门，填写公司内部组织架构中的部门名称，如有多个需列填，以英文分号“;”分隔。</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党内职务</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DNZW</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001048</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国有银行保险机构填报董监高的党内职务。参照《业务代码表》中的“党内职务代码”，填报代码。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专门委员会任职</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ZMWYHRZ</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001016</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填报董事参加的专门委员会名称。如有多个需列填，用“;”隔开。</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开始日期</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KSRQ</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填报董事、监事、高管实际到任履职日期。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结束日期</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JSRQ</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填报董事、监事、高管离任日期，若现任职则填默认值99991231。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提名机构名称</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TMJGMC</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“董监高类型”为“董事”或“监事”时必填，填报提名机构名称。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外部公司任职</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WBGSRZ</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001036</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填报董事、监事、高管在外部公司任职情况。</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履职评价结果</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LZPJJG</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001037</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“董监高标志”为“董事”或“监事”时必填，填报董事、监事、高管的最近年度履职评价结果。参照《业务代码表》中的“履职评价结果代码”，填报代码。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评价结果报告日期</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PJJGBGRQ</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“董监高标志”为“董事”或“监事”时必填，填报最近年度公司向监管机构报告董事监事履职情况及评价结果的日期。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8"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2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12"/>
        </w:numPr>
        <w:ind w:firstLineChars="0"/>
        <w:outlineLvl w:val="3"/>
        <w:rPr>
          <w:rFonts w:ascii="仿宋" w:hAnsi="仿宋" w:eastAsia="仿宋"/>
          <w:b/>
        </w:rPr>
      </w:pPr>
      <w:r>
        <w:rPr>
          <w:rFonts w:hint="eastAsia" w:ascii="仿宋" w:hAnsi="仿宋" w:eastAsia="仿宋"/>
          <w:b/>
        </w:rPr>
        <w:t>董监高处罚信息表</w:t>
      </w:r>
    </w:p>
    <w:tbl>
      <w:tblPr>
        <w:tblStyle w:val="25"/>
        <w:tblW w:w="8824" w:type="dxa"/>
        <w:tblInd w:w="0" w:type="dxa"/>
        <w:tblLayout w:type="fixed"/>
        <w:tblCellMar>
          <w:top w:w="0" w:type="dxa"/>
          <w:left w:w="108" w:type="dxa"/>
          <w:bottom w:w="0" w:type="dxa"/>
          <w:right w:w="108" w:type="dxa"/>
        </w:tblCellMar>
      </w:tblPr>
      <w:tblGrid>
        <w:gridCol w:w="1549"/>
        <w:gridCol w:w="1276"/>
        <w:gridCol w:w="851"/>
        <w:gridCol w:w="3687"/>
        <w:gridCol w:w="709"/>
        <w:gridCol w:w="752"/>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DJGCFXXB</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董监高处罚信息表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7</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本表报送保险集团（控股）公司所有董事、监事、高管范围的处罚信息，如董事、监事、高管兼任多个职务或受到多个处罚，需要分开报送。</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员工代码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指《员工信息表》中公司内部自行定义的员工代码，具有唯一性。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员工法定名称</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员工有效身份证件上的姓名。隐私，保险集团（控股）公司变形。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员工证件类型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员工证件号码</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身份证号、护照号等有效证件号码，隐私，保险集团（控股）公司变形。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JT_YGZJDQR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处罚机关</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发布该人员处罚决定的，依法有权或受托实施行政处罚的监管机构主体的规范全称；包括但不限于受到人民银行、银保监会、银保监局、政府执法部门等机关的行政处罚。</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处罚文号</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CFWH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填写行政处罚机关的处罚文号。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开始日期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填报处罚开始日期。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结束日期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填报处罚结束日期，存在罚款等处罚无持续时间的情况，开始和结束日期填报同一天。</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处罚类型</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参照《业务代码表》中的“处罚类型代码”，填报代码。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处罚原因</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CFYY</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处罚原因的文字描述，若有处罚决定书，填写处罚决定书内容。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处罚金额</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对个人的处罚金额，以人民币填报，单位：元。无处罚时上报</w:t>
            </w:r>
            <w:r>
              <w:rPr>
                <w:rFonts w:ascii="宋体" w:hAnsi="宋体" w:eastAsia="宋体" w:cs="宋体"/>
                <w:color w:val="000000"/>
                <w:kern w:val="0"/>
                <w:sz w:val="21"/>
                <w:szCs w:val="21"/>
              </w:rPr>
              <w:t>0。</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pStyle w:val="4"/>
        <w:tabs>
          <w:tab w:val="left" w:pos="709"/>
          <w:tab w:val="left" w:pos="993"/>
        </w:tabs>
        <w:ind w:left="0" w:firstLine="600"/>
      </w:pPr>
      <w:r>
        <w:rPr>
          <w:rFonts w:hint="eastAsia" w:ascii="仿宋" w:hAnsi="仿宋" w:eastAsia="仿宋"/>
        </w:rPr>
        <w:t>成员公司（不含保险集团（控股）公司）</w:t>
      </w:r>
    </w:p>
    <w:p>
      <w:pPr>
        <w:keepNext/>
        <w:keepLines/>
        <w:numPr>
          <w:ilvl w:val="1"/>
          <w:numId w:val="7"/>
        </w:numPr>
        <w:ind w:firstLineChars="0"/>
        <w:outlineLvl w:val="3"/>
        <w:rPr>
          <w:rFonts w:ascii="仿宋" w:hAnsi="仿宋" w:eastAsia="仿宋"/>
          <w:b/>
        </w:rPr>
      </w:pPr>
      <w:r>
        <w:rPr>
          <w:rFonts w:hint="eastAsia" w:ascii="仿宋" w:hAnsi="仿宋" w:eastAsia="仿宋"/>
          <w:b/>
        </w:rPr>
        <w:t>成员公司机构信息表</w:t>
      </w:r>
    </w:p>
    <w:tbl>
      <w:tblPr>
        <w:tblStyle w:val="25"/>
        <w:tblW w:w="8824" w:type="dxa"/>
        <w:tblInd w:w="0" w:type="dxa"/>
        <w:tblLayout w:type="fixed"/>
        <w:tblCellMar>
          <w:top w:w="0" w:type="dxa"/>
          <w:left w:w="108" w:type="dxa"/>
          <w:bottom w:w="0" w:type="dxa"/>
          <w:right w:w="108" w:type="dxa"/>
        </w:tblCellMar>
      </w:tblPr>
      <w:tblGrid>
        <w:gridCol w:w="1549"/>
        <w:gridCol w:w="1274"/>
        <w:gridCol w:w="994"/>
        <w:gridCol w:w="3544"/>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9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CYGSJGXXB</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成员公司机构信息表</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A0301</w:t>
            </w:r>
          </w:p>
        </w:tc>
        <w:tc>
          <w:tcPr>
            <w:tcW w:w="500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本表报送成员公司（不含保险集团（控股）公司）注册信息。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成员公司机构类型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CYGSJGLX</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参照《业务代码表》中的“机构类型代码”，填报中文描述。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成员公司LEI编码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CYGSLEIBM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成员公司的全球法人识别编码（LEI），法人识别编码是按照国际标准化组织的《金融服务法人机构识别编码》（ISO17442：2012）标准为法人机构分配的由20位数字和字母组成的唯一编码，可以用于标识与国际金融交易相关联的法人机构。</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工商注册日期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GSZCRQ</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以工商注册的成立日期为准。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批复日期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PFRQ</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填报成员公司中保险机构开业批复文件的日期。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批复文号</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PFWH</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001006</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填报成员公司中保险机构开业批复文件的文号。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经营范围</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JYFW</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001007</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应与工商注册中的经营范围一致。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注册资本</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cs="宋体"/>
                <w:color w:val="000000"/>
                <w:kern w:val="0"/>
                <w:sz w:val="21"/>
                <w:szCs w:val="21"/>
              </w:rPr>
              <w:t>ZCZB</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应与工商注册中的注册资本一致。若注册资本存在外币的情况，公司应自行换算成人民币进行填报。单位：元。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注册地区</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ZCDQ</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001017</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参照《业务代码表》中的“行政区划代码”，填报代码。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注册地址</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ZCDZ</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001009</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按照工商注册信息中的注册地填报。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是否有分支机构</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SFYFZJG</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管理模式</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GLMS</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001027</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填报保险集团（控股）公司对该成员公司的管理模式。参照《业务代码表》中的“管理模式代码”，填报代码。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行业类型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HYFL</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001024</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按成员公司所从事的生产经营活动或其他社会经济活动的性质进行行业分类，参照《业务代码表》中的“行业类型代码”，填报代码。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法定代表人法定名称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CY_FDDBRFDMC</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填写法定代表人姓名，应与工商注册的姓名一致。如无法定代表人，则填写“不适用”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CY_FDDBRZJLX</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法定代表人证件类型，参照《业务代码表》中的“证件类型代码”，填报代码。如无法定代表人，则选择“其他证件（个人）”。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CY_FDDBRZJHM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法定代表人证件号码。隐私，保险集团（控股）公司变形。如无法定代表人，则填写9999。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法定代表人证件到期日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CY_FDDBRZJDQR</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法定代表人证件到期日。如无法定代表人，则填写99991231。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是否有实际控制人</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SFYSJKZR</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实际控制人指通过投资关系、协议或者其他安排，能够实际支配公司行为的人。参照《业务代码表》中的“是否判断代码”，填报代码。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SJKZRLX</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001014</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参照《业务代码表》中的“实际控制人类型代码”，填报代码。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实际控制人法定名称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CY_SJKZRFDMC</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“是否有实际控制人”为“是”时必填。填报实际控制人名称。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实际控制人证件类型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CY_SJKZRZJLX</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“是否有实际控制人”为“是”时必填。填报实际控制人证件类型。对自然人，优先选填控制人居民身份证；对机构，优先选填统一社会信用代码。参照《业务代码表》中的“证件类型代码”，填报代码。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实际控制人证件号码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CY_SJKZRZJHM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“是否有实际控制人”为“是”时必填。填报有效证件号码。若为自然人证件号码，隐私，保险集团（控股）公司变形。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实际控制人证件到期日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CY_SJKZRZJDQR</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实际控制人证件到期日。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许可证发放日期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XKZFFRQ</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保险许可证号的发放日期。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许可证注销日期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XKZZXRQ</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保险许可证号的注销日期，如未注销，填写默认值99991231。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成员公司股权信息表</w:t>
      </w:r>
    </w:p>
    <w:tbl>
      <w:tblPr>
        <w:tblStyle w:val="25"/>
        <w:tblW w:w="8824" w:type="dxa"/>
        <w:tblInd w:w="0" w:type="dxa"/>
        <w:tblLayout w:type="fixed"/>
        <w:tblCellMar>
          <w:top w:w="0" w:type="dxa"/>
          <w:left w:w="108" w:type="dxa"/>
          <w:bottom w:w="0" w:type="dxa"/>
          <w:right w:w="108" w:type="dxa"/>
        </w:tblCellMar>
      </w:tblPr>
      <w:tblGrid>
        <w:gridCol w:w="1549"/>
        <w:gridCol w:w="1274"/>
        <w:gridCol w:w="994"/>
        <w:gridCol w:w="3544"/>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9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CYGSGQXXB</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成员公司股权信息表</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A0302</w:t>
            </w:r>
          </w:p>
        </w:tc>
        <w:tc>
          <w:tcPr>
            <w:tcW w:w="500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本表报送成员公司（不含保险集团（控股）公司）所有股权组成信息，对于上市公司仅报送持股</w:t>
            </w:r>
            <w:r>
              <w:rPr>
                <w:rFonts w:ascii="宋体" w:hAnsi="宋体" w:eastAsia="宋体" w:cs="宋体"/>
                <w:color w:val="000000"/>
                <w:kern w:val="0"/>
                <w:sz w:val="21"/>
                <w:szCs w:val="21"/>
              </w:rPr>
              <w:t>5%及以上的机构及个人股东信息，对于未上市公司报送持股1%及以上的机构及个人股东信息。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机构类型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JGLX</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参照《业务代码表》中的“机构类型代码”，填报中文描述。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股东编号</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GDBH</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公司内部自行定义的股东编号，应具有唯一性。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股东法定名称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CY_GDFDMC</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对自然人股东，为股东姓名；对法人股东，为股东经有关部门批准正式使用的机构全称。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股东证件类型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CY_GDZJLX</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对自然人，优先选填股东居民身份证；对机构，优先选填统一社会信用代码。参照《业务代码表》中的“证件类型代码”，填报代码。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股东证件号码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CY_GDZJHM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填写有效证件号码。若为自然人证件号码，隐私，保险集团（控股）公司变形。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股东证件到期日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CY_GDZJDQR</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股东证件到期日。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GDLX</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001020</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参照《业务代码表》中的“股东类型代码”，填报代码。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股东类别</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GDLB</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001021</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按照股东自然人或机构属性。参照《业务代码表》中的“股东类别代码”，填报代码。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股东国别</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GDGB</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001022</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参照《业务代码表》中的“国家地区”，填报代码。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LEI编码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LEIBM</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股东机构的全球法人机构识别编码，LEI是按照国际标准化组织ISO 17442标准为全球法人分配的唯一识别编码，LEI编码是由20位数字和字母组成的唯一编码。我国LEI编码包括前缀码部分、预留位部分、机构特定部分和校验位四部分。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行业类型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HYFL</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001024</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股东为非自然人时，必填。按股东所从事的生产经营活动或其他社会经济活动的性质进行行业分类。参照《业务代码表》中的“行业类型代码”，填报代码。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持股比例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CGBL</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股东在数据日期当日的持股比例，填数字，不填百分比，最少保留两位小数，比如12.34%填写为12.34。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出资日期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CZRQ</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该股东最近一次持股份额变化的日期。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交易币种</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交易币认缴金额</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JYBRJJE</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交易币认缴金额。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本位币认缴金额</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BWBRJJE</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交易币按照既定规则的汇率折成的本位币认缴金额。单位：元。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交易币出资金额</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JYBCZJE</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交易币出资金额。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本位币出资金额</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BWBCZJE</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交易币按照既定规则的汇率折成的本位币出资金额。单位：元。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股东是否有效</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GDSFYX</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是否有一致行动人</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SFYYZXDR</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一致行动人是指投资者通过协议、其他安排，与其他投资者共同扩大其所能够支配的一个公司股份表决权数量的行为或者事实。达成一致行动的相关投资者，为一致行动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一致行动人组别</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YZXDRZB</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有一致行动人为“是”时为必填。组别用数字填写。例如公司有6个股东，分别是A、B、C、D、E、F，其中A、B、C三方为一致行动人，D、E两方为另一组一致行动人，则A、B、C的一致行动人组别填写1，D、E的一致行动人组别填写2。</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股权质押数量</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GQZYSL</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001040</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截至报送日期，股东质押的股份数量。单位：股。若无抵押，则填0。</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股权质押比例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GQZYBL</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截至报送日期，股东质押的股份数量占持股数量的比例，填数字，不填百分比，最少保留两位小数，比如12.34%填写为12.34。若无抵押，则填0。</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股权冻结数量</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GQDJSL</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001040</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截至报送日期，股权冻结的股份数量。单位：股。若无冻结，则填0。</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股权冻结比例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GQDJBL</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截至报送日期，股东股权冻结的股份数量占持股数量的比例，填数字，不填百分比，最少保留两位小数，比如12.34%填写为12.34。若无抵押，则填0。</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9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成员公司机构处罚信息表</w:t>
      </w:r>
    </w:p>
    <w:tbl>
      <w:tblPr>
        <w:tblStyle w:val="25"/>
        <w:tblW w:w="8824" w:type="dxa"/>
        <w:tblInd w:w="0" w:type="dxa"/>
        <w:tblLayout w:type="fixed"/>
        <w:tblCellMar>
          <w:top w:w="0" w:type="dxa"/>
          <w:left w:w="108" w:type="dxa"/>
          <w:bottom w:w="0" w:type="dxa"/>
          <w:right w:w="108" w:type="dxa"/>
        </w:tblCellMar>
      </w:tblPr>
      <w:tblGrid>
        <w:gridCol w:w="1549"/>
        <w:gridCol w:w="1560"/>
        <w:gridCol w:w="849"/>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60"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4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CYGSJGCFXXB</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成员公司机构处罚信息表</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A030</w:t>
            </w:r>
            <w:r>
              <w:rPr>
                <w:rFonts w:ascii="宋体" w:hAnsi="宋体" w:eastAsia="宋体" w:cs="宋体"/>
                <w:color w:val="000000"/>
                <w:kern w:val="0"/>
                <w:sz w:val="21"/>
                <w:szCs w:val="21"/>
              </w:rPr>
              <w:t>3</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本表报送成员公司（不含保险集团（控股）公司）的处罚信息，含下级分支机构。</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被处罚单位名称</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BCFDWMC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名称应与营业执照上所使用的名称完全一致。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被处罚单位主要负责人</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BCFDWZYFZR</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应与个人有效证件上的姓名保持一致。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处罚机关</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CFJG</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发布该人员处罚决定的，依法有权或受托实施行政处罚的监管机构主体的规范全称；包括但不限于受到人民银行、银保监会、银保监局、政府执法部门等机关的行政处罚。</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处罚文号</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CFWH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填写行政处罚机关的处罚文号。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开始日期</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KSRQ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填报处罚开始日期。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结束日期</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JSRQ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填报处罚结束日期，存在罚款等处罚无持续时间的情况，开始和结束日期填报同一天。</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处罚原因</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CFYY</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处罚原因的文字描述，若有处罚决定书，填写处罚决定书内容。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处罚决定</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CFJD</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处罚决定的文字描述，若有处罚决定书，填写处罚决定书内容。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处罚金额</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处罚金额，以人民币填报，单位：元。如处罚当事人包括个人和机构，合并计算报送。无处罚时上报0。</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成员公司董监高履职信息表</w:t>
      </w:r>
    </w:p>
    <w:tbl>
      <w:tblPr>
        <w:tblStyle w:val="25"/>
        <w:tblW w:w="8824" w:type="dxa"/>
        <w:tblInd w:w="0" w:type="dxa"/>
        <w:tblLayout w:type="fixed"/>
        <w:tblCellMar>
          <w:top w:w="0" w:type="dxa"/>
          <w:left w:w="108" w:type="dxa"/>
          <w:bottom w:w="0" w:type="dxa"/>
          <w:right w:w="108" w:type="dxa"/>
        </w:tblCellMar>
      </w:tblPr>
      <w:tblGrid>
        <w:gridCol w:w="1550"/>
        <w:gridCol w:w="1557"/>
        <w:gridCol w:w="851"/>
        <w:gridCol w:w="3403"/>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5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CYGSDJGLZXXB</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成员公司董监高履职信息表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A030</w:t>
            </w:r>
            <w:r>
              <w:rPr>
                <w:rFonts w:ascii="宋体" w:hAnsi="宋体" w:eastAsia="宋体" w:cs="宋体"/>
                <w:color w:val="000000"/>
                <w:kern w:val="0"/>
                <w:sz w:val="21"/>
                <w:szCs w:val="21"/>
              </w:rPr>
              <w:t>4</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本表报送成员公司（不含保险集团（控股）公司）董事、监事、高管范围人员的履职情况信息，如董事、监事、高管兼任多个职务，需要分开报送。</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成员公司员工代码</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指《成员公司员工信息表》中公司内部自行定义的员工代码，具有唯一性。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成员公司员工法定名称</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员工有效身份证件上的姓名。隐私，保险集团（控股）公司变形。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成员公司员工证件类型</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成员公司员工证件号码</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身份证号、护照号等有效证件号码，隐私，保险集团（控股）公司变形。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成员公司员工证件到期日</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董监高类型</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cs="宋体"/>
                <w:color w:val="000000"/>
                <w:kern w:val="0"/>
                <w:sz w:val="21"/>
                <w:szCs w:val="21"/>
              </w:rPr>
              <w:t>DJGLX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参照《业务代码表》中的“董监高类型代码”，填报代码。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批复日期</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PFRQ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获得董事、监事、高管任职资格的批复日期。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批复文号</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PFWH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获得董事、监事、高管任职资格的批复文号。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公司职务</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cs="宋体"/>
                <w:color w:val="000000"/>
                <w:kern w:val="0"/>
                <w:sz w:val="21"/>
                <w:szCs w:val="21"/>
              </w:rPr>
              <w:t>GSZW</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“董监高标志”含“高管”时必填，填报所管辖部门，填写公司内部组织架构中的部门名称，如有多个需列填，以英文分号“;”分隔。</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党内职务</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DNZW</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国有银行保险机构填报董监高的党内职务。参照《业务代码表》中的“党内职务代码”，填报代码。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专门委员会任职</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ZMWYHRZ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填报董事参加的专门委员会名称。如有多个需列填，用“;”隔开。</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开始日期</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填报董事、监事、高管任职开始日期。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结束日期</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填报董事、监事、高管离任日期，若现任职则填默认值99991231。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提名机构名称</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TMJGMC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“董监高类型”为“董事”或“监事”时必填，填报提名机构名称。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外部公司任职</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WBGSRZ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填报董事、监事、高管在外部公司任职情况。</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履职评价结果</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LZPJJG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“董监高标志”为“董事”或“监事”时必填，填报董事、监事、高管的最近年度履职评价结果。参照《业务代码表》中的“履职评价结果代码”，填报代码。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评价结果报告日期</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PJJGBGRQ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“董监高标志”为“董事”或“监事”时必填，填报最近年度公司向监管机构报告董事监事履职情况及评价结果的日期。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5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成员公司董监高处罚信息表</w:t>
      </w:r>
    </w:p>
    <w:tbl>
      <w:tblPr>
        <w:tblStyle w:val="25"/>
        <w:tblW w:w="8824" w:type="dxa"/>
        <w:tblInd w:w="0" w:type="dxa"/>
        <w:tblLayout w:type="fixed"/>
        <w:tblCellMar>
          <w:top w:w="0" w:type="dxa"/>
          <w:left w:w="108" w:type="dxa"/>
          <w:bottom w:w="0" w:type="dxa"/>
          <w:right w:w="108" w:type="dxa"/>
        </w:tblCellMar>
      </w:tblPr>
      <w:tblGrid>
        <w:gridCol w:w="1536"/>
        <w:gridCol w:w="1574"/>
        <w:gridCol w:w="893"/>
        <w:gridCol w:w="3358"/>
        <w:gridCol w:w="709"/>
        <w:gridCol w:w="754"/>
      </w:tblGrid>
      <w:tr>
        <w:tblPrEx>
          <w:tblCellMar>
            <w:top w:w="0" w:type="dxa"/>
            <w:left w:w="108" w:type="dxa"/>
            <w:bottom w:w="0" w:type="dxa"/>
            <w:right w:w="108" w:type="dxa"/>
          </w:tblCellMar>
        </w:tblPrEx>
        <w:trPr>
          <w:trHeight w:val="290" w:hRule="atLeast"/>
        </w:trPr>
        <w:tc>
          <w:tcPr>
            <w:tcW w:w="153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7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9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CYGSDJGCFXXB</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成员公司董监高处罚信息表</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A030</w:t>
            </w:r>
            <w:r>
              <w:rPr>
                <w:rFonts w:ascii="宋体" w:hAnsi="宋体" w:eastAsia="宋体" w:cs="宋体"/>
                <w:color w:val="000000"/>
                <w:kern w:val="0"/>
                <w:sz w:val="21"/>
                <w:szCs w:val="21"/>
              </w:rPr>
              <w:t>5</w:t>
            </w:r>
          </w:p>
        </w:tc>
        <w:tc>
          <w:tcPr>
            <w:tcW w:w="482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本表报送成员公司（不含保险集团（控股）公司）内所有董事、监事、高管范围的处罚信息，如董事、监事、高管兼任多个职务或受到多个处罚，需要分开报送。</w:t>
            </w:r>
          </w:p>
        </w:tc>
      </w:tr>
      <w:tr>
        <w:tblPrEx>
          <w:tblCellMar>
            <w:top w:w="0" w:type="dxa"/>
            <w:left w:w="108" w:type="dxa"/>
            <w:bottom w:w="0" w:type="dxa"/>
            <w:right w:w="108" w:type="dxa"/>
          </w:tblCellMar>
        </w:tblPrEx>
        <w:trPr>
          <w:trHeight w:val="79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成员公司员工代码</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CY_YGDM</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指《员工信息表》中公司内部自行定义的员工代码，具有唯一性。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成员公司员工法定名称</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CY_YGFDMC</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员工有效身份证件上的姓名。隐私，保险集团（控股）公司变形。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成员公司员工证件类型</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CY_YGZJLX</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成员公司员工证件号码</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CY_YGZJHM</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身份证号、护照号等有效证件号码，隐私，保险集团（控股）公司变形。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成员公司员工证件到期日</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CY_YGZJDQR</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处罚机关</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CFJG</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发布该人员处罚决定的，依法有权或受托实施行政处罚的监管机构主体的规范全称；包括但不限于受到人民银行、银保监会、银保监局、政府执法部门等机关的行政处罚。</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处罚文号</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CFWH</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填写行政处罚机关的处罚文号。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开始日期</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KSRQ</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填报处罚开始日期。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结束日期</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JSRQ</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填报处罚结束日期，存在罚款等处罚无持续时间的情况，开始和结束日期填报同一天。</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处罚类型</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cs="宋体"/>
                <w:color w:val="000000"/>
                <w:kern w:val="0"/>
                <w:sz w:val="21"/>
                <w:szCs w:val="21"/>
              </w:rPr>
              <w:t>CFLX</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001038</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参照《业务代码表》中的“处罚类型代码”，填报代码。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处罚原因</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CFYY</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001039</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处罚原因的文字描述，若有处罚决定书，填写处罚决定书内容。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处罚金额</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CFJE</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处罚金额，以人民币填报，单位：元。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3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9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3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成员公司管理人员信息表</w:t>
      </w:r>
    </w:p>
    <w:tbl>
      <w:tblPr>
        <w:tblStyle w:val="25"/>
        <w:tblW w:w="8824" w:type="dxa"/>
        <w:tblInd w:w="0" w:type="dxa"/>
        <w:tblLayout w:type="fixed"/>
        <w:tblCellMar>
          <w:top w:w="0" w:type="dxa"/>
          <w:left w:w="108" w:type="dxa"/>
          <w:bottom w:w="0" w:type="dxa"/>
          <w:right w:w="108" w:type="dxa"/>
        </w:tblCellMar>
      </w:tblPr>
      <w:tblGrid>
        <w:gridCol w:w="1549"/>
        <w:gridCol w:w="1558"/>
        <w:gridCol w:w="851"/>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5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CYGSGLRYXXB</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成员公司管理人员信息表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A030</w:t>
            </w:r>
            <w:r>
              <w:rPr>
                <w:rFonts w:ascii="宋体" w:hAnsi="宋体" w:eastAsia="宋体" w:cs="宋体"/>
                <w:color w:val="000000"/>
                <w:kern w:val="0"/>
                <w:sz w:val="21"/>
                <w:szCs w:val="21"/>
              </w:rPr>
              <w:t>6</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本表报送成员公司（不含保险集团（控股）公司）所有与公司签订劳动合同或聘用合同的管理人员信息，包括董事、监事、高管、自行认定的中层管理人员等人员信息。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成员公司自行定义的员工编号，具有唯一性。一般由英文字母、数字、常见字符组成。</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成员公司员工法定名称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员工有效身份证件上的姓名。隐私，保险集团（控股）公司变形。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成员公司员工证件类型</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身份证号、护照号等有效证件号码，隐私，保险集团（控股）公司变形。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成员公司员工证件到期日</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CY_YGZJDQR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性别</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XB</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参照《业务代码表》中的“性别代码”，填报代码。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民族</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MZ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员工的民族。国家认可的在公安户籍管理部门正式登记注册的客户所属民族。参照《业务代码表》中的“民族代码”，填报代码。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出生日期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员工出生日期。隐私，暂不取。保险集团（控股）公司需在本地保留原文数据，并报送99991231。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政治面貌</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ZZMM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成员公司员工的政治面貌。参照《业务代码表》中的“政治面貌代码”，填报代码。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参加政党日期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CJZDRQ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参加政党的日期。YYYYMM，默认值999912。</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员工状态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YGZT</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参照《业务代码表》中的“员工状态代码”，填报代码。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员工编制</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YGBZ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参照《业务代码表》中的“员工编制代码”，填报代码。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联系电话</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LXDH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员工联系电话，区号-座机电话/手机。隐私，暂不取。保险集团（控股）公司需在本地保留原文数据，并报送“隐私”。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学历</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001033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员工学历，参照《业务代码表》中的“学历代码”，填报代码。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DJGBZ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所属部门</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SSBM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“董监高标志”为“否”时必填。按公司内部规定名称填写。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岗位名称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GWMC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“董监高标志”为“否”时必填。按公司内部规定名称填写。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入司日期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RSRQ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“董监高标志”为“否”时必填。则填报最近一次签订劳动合同的日期，其他人员则填报任职开始日期。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离司日期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如董监高标志为员工，则填报离司日期，其他人员则填报任职结束日期，若未离司或仍在任职期则填默认值99991231。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pStyle w:val="3"/>
        <w:numPr>
          <w:ilvl w:val="0"/>
          <w:numId w:val="6"/>
        </w:numPr>
        <w:ind w:left="0"/>
        <w:rPr>
          <w:szCs w:val="30"/>
        </w:rPr>
      </w:pPr>
      <w:bookmarkStart w:id="141" w:name="_Toc20605"/>
      <w:bookmarkStart w:id="142" w:name="_Toc57476899"/>
      <w:bookmarkStart w:id="143" w:name="_Toc24264"/>
      <w:bookmarkStart w:id="144" w:name="_Toc27372"/>
      <w:bookmarkStart w:id="145" w:name="_Toc73958570"/>
      <w:bookmarkStart w:id="146" w:name="_Toc2379"/>
      <w:bookmarkStart w:id="147" w:name="_Toc29689"/>
      <w:bookmarkStart w:id="148" w:name="_Toc9069"/>
      <w:bookmarkStart w:id="149" w:name="_Toc13678"/>
      <w:bookmarkStart w:id="150" w:name="_Toc23532"/>
      <w:bookmarkStart w:id="151" w:name="_Toc98147816"/>
      <w:bookmarkStart w:id="152" w:name="_Toc57538963"/>
      <w:bookmarkStart w:id="153" w:name="_Toc25316"/>
      <w:bookmarkStart w:id="154" w:name="_Toc23841"/>
      <w:r>
        <w:rPr>
          <w:rFonts w:hint="eastAsia"/>
          <w:szCs w:val="30"/>
        </w:rPr>
        <w:t>公司财务</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4"/>
        <w:numPr>
          <w:ilvl w:val="0"/>
          <w:numId w:val="13"/>
        </w:numPr>
        <w:tabs>
          <w:tab w:val="left" w:pos="709"/>
          <w:tab w:val="left" w:pos="993"/>
        </w:tabs>
        <w:rPr>
          <w:rFonts w:ascii="仿宋" w:hAnsi="仿宋" w:eastAsia="仿宋"/>
          <w:szCs w:val="30"/>
        </w:rPr>
      </w:pPr>
      <w:bookmarkStart w:id="155" w:name="_Toc19174"/>
      <w:bookmarkStart w:id="156" w:name="_Toc25986"/>
      <w:bookmarkStart w:id="157" w:name="_Toc5966"/>
      <w:bookmarkStart w:id="158" w:name="_Toc73958571"/>
      <w:bookmarkStart w:id="159" w:name="_Toc30378"/>
      <w:bookmarkStart w:id="160" w:name="_Toc22970"/>
      <w:bookmarkStart w:id="161" w:name="_Toc11991"/>
      <w:r>
        <w:rPr>
          <w:rFonts w:hint="eastAsia" w:ascii="仿宋" w:hAnsi="仿宋" w:eastAsia="仿宋"/>
          <w:szCs w:val="30"/>
        </w:rPr>
        <w:t>集团合并</w:t>
      </w:r>
      <w:bookmarkEnd w:id="155"/>
      <w:bookmarkEnd w:id="156"/>
      <w:bookmarkEnd w:id="157"/>
      <w:bookmarkEnd w:id="158"/>
      <w:bookmarkEnd w:id="159"/>
      <w:bookmarkEnd w:id="160"/>
      <w:bookmarkEnd w:id="161"/>
    </w:p>
    <w:p>
      <w:pPr>
        <w:keepNext/>
        <w:keepLines/>
        <w:numPr>
          <w:ilvl w:val="1"/>
          <w:numId w:val="7"/>
        </w:numPr>
        <w:ind w:firstLineChars="0"/>
        <w:outlineLvl w:val="3"/>
        <w:rPr>
          <w:rFonts w:ascii="仿宋" w:hAnsi="仿宋" w:eastAsia="仿宋"/>
          <w:b/>
        </w:rPr>
      </w:pPr>
      <w:r>
        <w:rPr>
          <w:rFonts w:hint="eastAsia" w:ascii="仿宋" w:hAnsi="仿宋" w:eastAsia="仿宋"/>
          <w:b/>
        </w:rPr>
        <w:t>集团合并报表范围内被合并方信息表</w:t>
      </w:r>
    </w:p>
    <w:tbl>
      <w:tblPr>
        <w:tblStyle w:val="25"/>
        <w:tblW w:w="8824" w:type="dxa"/>
        <w:tblInd w:w="0" w:type="dxa"/>
        <w:tblLayout w:type="fixed"/>
        <w:tblCellMar>
          <w:top w:w="0" w:type="dxa"/>
          <w:left w:w="108" w:type="dxa"/>
          <w:bottom w:w="0" w:type="dxa"/>
          <w:right w:w="108" w:type="dxa"/>
        </w:tblCellMar>
      </w:tblPr>
      <w:tblGrid>
        <w:gridCol w:w="1896"/>
        <w:gridCol w:w="1579"/>
        <w:gridCol w:w="1052"/>
        <w:gridCol w:w="2834"/>
        <w:gridCol w:w="709"/>
        <w:gridCol w:w="754"/>
      </w:tblGrid>
      <w:tr>
        <w:tblPrEx>
          <w:tblCellMar>
            <w:top w:w="0" w:type="dxa"/>
            <w:left w:w="108" w:type="dxa"/>
            <w:bottom w:w="0" w:type="dxa"/>
            <w:right w:w="108" w:type="dxa"/>
          </w:tblCellMar>
        </w:tblPrEx>
        <w:trPr>
          <w:trHeight w:val="290" w:hRule="atLeast"/>
        </w:trPr>
        <w:tc>
          <w:tcPr>
            <w:tcW w:w="189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7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105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29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JTHBBBFWNBHBFXXB</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集团合并报表范围内被合并方信息表</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B0101</w:t>
            </w:r>
          </w:p>
        </w:tc>
        <w:tc>
          <w:tcPr>
            <w:tcW w:w="4297"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本表报送集团合并财务信息统计表范围内公司或其他主体基本信息。</w:t>
            </w:r>
          </w:p>
        </w:tc>
      </w:tr>
      <w:tr>
        <w:tblPrEx>
          <w:tblCellMar>
            <w:top w:w="0" w:type="dxa"/>
            <w:left w:w="108" w:type="dxa"/>
            <w:bottom w:w="0" w:type="dxa"/>
            <w:right w:w="108" w:type="dxa"/>
          </w:tblCellMar>
        </w:tblPrEx>
        <w:trPr>
          <w:trHeight w:val="79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82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被合并方名称</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GL_BHBFMC</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填写被合并方公司或其他主体名称，如是公司应与工商注册一致。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被合并方证件类型</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GL_BHBFZJLX</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被合并方公司或其他主体证件类型。参照《业务代码表》中的“证件类型代码”，填报代码。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3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被合并方证件号码</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GL_BHBFZJHM</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被合并方公司或其他主体证件号码。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被合并方证件到期日</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GL_BHBFZJDQR</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被合并方公司或其他主体证件到期日。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KJQJ</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002002</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w:t>
            </w:r>
            <w:r>
              <w:rPr>
                <w:rFonts w:ascii="宋体" w:hAnsi="宋体" w:eastAsia="宋体"/>
                <w:sz w:val="21"/>
                <w:szCs w:val="21"/>
              </w:rPr>
              <w:t>YYYYMM，年度审计报告出具后报送审计报告被合并方。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CellMar>
            <w:top w:w="0" w:type="dxa"/>
            <w:left w:w="108" w:type="dxa"/>
            <w:bottom w:w="0" w:type="dxa"/>
            <w:right w:w="108" w:type="dxa"/>
          </w:tblCellMar>
        </w:tblPrEx>
        <w:trPr>
          <w:trHeight w:val="29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报送周期</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BSZQ</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002016</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820" w:hRule="atLeast"/>
        </w:trPr>
        <w:tc>
          <w:tcPr>
            <w:tcW w:w="189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10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283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集团合并财务信息统计表</w:t>
      </w:r>
    </w:p>
    <w:tbl>
      <w:tblPr>
        <w:tblStyle w:val="25"/>
        <w:tblW w:w="8824" w:type="dxa"/>
        <w:tblInd w:w="0" w:type="dxa"/>
        <w:tblLayout w:type="fixed"/>
        <w:tblCellMar>
          <w:top w:w="0" w:type="dxa"/>
          <w:left w:w="108" w:type="dxa"/>
          <w:bottom w:w="0" w:type="dxa"/>
          <w:right w:w="108" w:type="dxa"/>
        </w:tblCellMar>
      </w:tblPr>
      <w:tblGrid>
        <w:gridCol w:w="1549"/>
        <w:gridCol w:w="1507"/>
        <w:gridCol w:w="902"/>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0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0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JTHBCWXXTJB</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集团合并财务信息统计表</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B0102</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本表报送集团合并财务信息统计指标。</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资产合计</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ZCHJ</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负债合计</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FZHJ</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负债合计。单位：元。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所有者权益合计</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SYZQYHJ</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所有者权益合计。单位：元。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归属于母公司所有者权益合计</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GSYMGSSYZQYHJ</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归属于母公司所有者权益合计。单位：元。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当期营业收入</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DQYYSR</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当期营业支出</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DQYYZC</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当期营业利润</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DQYYLR</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当期利润总额</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DQLRZE</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当期净利润</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DQJLR</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当期归属于母公司所有者净利润</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DQGSYMGSSYZJLR</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年营业收入</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NYYSR</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年营业支出</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NYYZC</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年营业利润</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NYYLR</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年利润总额</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NLRZE</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年净利润</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NJLR</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年归属于母公司所有者净利润</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NGSYMGSSYZJLR</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会计期间</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KJQJ</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归属期间。格式：</w:t>
            </w:r>
            <w:r>
              <w:rPr>
                <w:rFonts w:ascii="宋体" w:hAnsi="宋体" w:eastAsia="宋体" w:cs="宋体"/>
                <w:color w:val="000000"/>
                <w:kern w:val="0"/>
                <w:sz w:val="21"/>
                <w:szCs w:val="21"/>
              </w:rPr>
              <w:t>YYYYMM，年度审计报告出具后报送审计报告数据。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报送周期</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BSZQ</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0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0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bl>
    <w:p>
      <w:pPr>
        <w:ind w:firstLine="0" w:firstLineChars="0"/>
      </w:pPr>
    </w:p>
    <w:p>
      <w:pPr>
        <w:pStyle w:val="4"/>
        <w:numPr>
          <w:ilvl w:val="0"/>
          <w:numId w:val="13"/>
        </w:numPr>
        <w:tabs>
          <w:tab w:val="left" w:pos="709"/>
          <w:tab w:val="left" w:pos="993"/>
        </w:tabs>
        <w:rPr>
          <w:rFonts w:ascii="仿宋" w:hAnsi="仿宋" w:eastAsia="仿宋"/>
          <w:szCs w:val="30"/>
        </w:rPr>
      </w:pPr>
      <w:r>
        <w:rPr>
          <w:rFonts w:hint="eastAsia" w:ascii="仿宋" w:hAnsi="仿宋" w:eastAsia="仿宋"/>
          <w:szCs w:val="30"/>
        </w:rPr>
        <w:t>保险集团（控股）公司</w:t>
      </w:r>
    </w:p>
    <w:p>
      <w:pPr>
        <w:keepNext/>
        <w:keepLines/>
        <w:numPr>
          <w:ilvl w:val="1"/>
          <w:numId w:val="7"/>
        </w:numPr>
        <w:ind w:firstLineChars="0"/>
        <w:outlineLvl w:val="3"/>
        <w:rPr>
          <w:rFonts w:ascii="仿宋" w:hAnsi="仿宋" w:eastAsia="仿宋"/>
          <w:b/>
        </w:rPr>
      </w:pPr>
      <w:r>
        <w:rPr>
          <w:rFonts w:hint="eastAsia" w:ascii="仿宋" w:hAnsi="仿宋" w:eastAsia="仿宋"/>
          <w:b/>
        </w:rPr>
        <w:t>内部科目对照表</w:t>
      </w:r>
    </w:p>
    <w:tbl>
      <w:tblPr>
        <w:tblStyle w:val="25"/>
        <w:tblW w:w="8824" w:type="dxa"/>
        <w:tblInd w:w="0" w:type="dxa"/>
        <w:tblLayout w:type="fixed"/>
        <w:tblCellMar>
          <w:top w:w="0" w:type="dxa"/>
          <w:left w:w="108" w:type="dxa"/>
          <w:bottom w:w="0" w:type="dxa"/>
          <w:right w:w="108" w:type="dxa"/>
        </w:tblCellMar>
      </w:tblPr>
      <w:tblGrid>
        <w:gridCol w:w="1409"/>
        <w:gridCol w:w="1275"/>
        <w:gridCol w:w="992"/>
        <w:gridCol w:w="3685"/>
        <w:gridCol w:w="709"/>
        <w:gridCol w:w="754"/>
      </w:tblGrid>
      <w:tr>
        <w:tblPrEx>
          <w:tblCellMar>
            <w:top w:w="0" w:type="dxa"/>
            <w:left w:w="108" w:type="dxa"/>
            <w:bottom w:w="0" w:type="dxa"/>
            <w:right w:w="108" w:type="dxa"/>
          </w:tblCellMar>
        </w:tblPrEx>
        <w:trPr>
          <w:trHeight w:val="290" w:hRule="atLeast"/>
        </w:trPr>
        <w:tc>
          <w:tcPr>
            <w:tcW w:w="140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NBKMDZB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内部科目对照表</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B0201</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本表报送保险集团（控股）公司总账会计全科目每一级科目由下级科目或明细账生成的关系，需要报送全量一级到最末级的会计科目。上级科目编号必须在该表中存在且具有唯一性。</w:t>
            </w:r>
          </w:p>
        </w:tc>
      </w:tr>
      <w:tr>
        <w:tblPrEx>
          <w:tblCellMar>
            <w:top w:w="0" w:type="dxa"/>
            <w:left w:w="108" w:type="dxa"/>
            <w:bottom w:w="0" w:type="dxa"/>
            <w:right w:w="108" w:type="dxa"/>
          </w:tblCellMar>
        </w:tblPrEx>
        <w:trPr>
          <w:trHeight w:val="7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KJKMTXDM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会计核算方法</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KJHSFF</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适用会计准则。参照《业务代码表》中的“会计核算方法代码”，填报代码。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KMBH</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机构实际使用的会计科目编码。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机构实际使用的会计科目名称。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会计科目级次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KMJC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总账会计科目编号在科目结构中所对应的级次。未设置科目层级默认一级科目。“1-一级科目；2-二级科目；3-三级科目；4-四级科目；5-五级科目；6-六级科目”，以此类推，填报数字。</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上级科目编号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SJKMBH</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机构实际使用的总账会计科目编码。“会计科目级次”非一级时必填。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上级科目名称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SJKMMC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机构实际使用的总账会计科目编码对应的名称。“会计科目级次”非一级时必填。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KMLX</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总账会计科目分类。参照《业务代码表》中的“会计科目类型代码”，填报代码。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归属期间。格式：YYYYMM。</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总账会计全科目表</w:t>
      </w:r>
    </w:p>
    <w:tbl>
      <w:tblPr>
        <w:tblStyle w:val="25"/>
        <w:tblW w:w="8824" w:type="dxa"/>
        <w:tblInd w:w="0" w:type="dxa"/>
        <w:tblLayout w:type="fixed"/>
        <w:tblCellMar>
          <w:top w:w="0" w:type="dxa"/>
          <w:left w:w="108" w:type="dxa"/>
          <w:bottom w:w="0" w:type="dxa"/>
          <w:right w:w="108" w:type="dxa"/>
        </w:tblCellMar>
      </w:tblPr>
      <w:tblGrid>
        <w:gridCol w:w="1409"/>
        <w:gridCol w:w="1416"/>
        <w:gridCol w:w="851"/>
        <w:gridCol w:w="3685"/>
        <w:gridCol w:w="709"/>
        <w:gridCol w:w="754"/>
      </w:tblGrid>
      <w:tr>
        <w:tblPrEx>
          <w:tblCellMar>
            <w:top w:w="0" w:type="dxa"/>
            <w:left w:w="108" w:type="dxa"/>
            <w:bottom w:w="0" w:type="dxa"/>
            <w:right w:w="108" w:type="dxa"/>
          </w:tblCellMar>
        </w:tblPrEx>
        <w:trPr>
          <w:trHeight w:val="290" w:hRule="atLeast"/>
        </w:trPr>
        <w:tc>
          <w:tcPr>
            <w:tcW w:w="140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416"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ZZKJQKMB</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总账会计全科目表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B0202</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本表报送保险集团（控股）公司全科目报表数据，币种包括人民币汇总、外币分币种汇总。此表与内部科目对照表关系一致。</w:t>
            </w:r>
          </w:p>
        </w:tc>
      </w:tr>
      <w:tr>
        <w:tblPrEx>
          <w:tblCellMar>
            <w:top w:w="0" w:type="dxa"/>
            <w:left w:w="108" w:type="dxa"/>
            <w:bottom w:w="0" w:type="dxa"/>
            <w:right w:w="108" w:type="dxa"/>
          </w:tblCellMar>
        </w:tblPrEx>
        <w:trPr>
          <w:trHeight w:val="7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交易币种</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机构实际使用的总账会计科目编码。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总账会计科目名称</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机构实际使用的总账会计科目编码对应的名称。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总账会计科目级次</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KMJC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总账会计科目编号在科目结构中所对应的级次。未设置科目层级默认一级科目。“1-一级科目；2-二级科目；3-三级科目；4-四级科目；5-五级科目；6-六级科目”，以此类推，填报数字。</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会计科目类型</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总账会计科目分类。参照《业务代码表》中的“会计科目类型代码”，填报代码。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期初借方余额</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QCJFYE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本年期初借方余额。若金额涉及到外币，由机构自行转换成人民币进行填报。单位：元。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期初贷方余额</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QCDFYE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本年期初贷方余额。若金额涉及到外币，由机构自行转换成人民币进行填报。单位：元。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本期借方发生额</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BQJFFSE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本年借方发生额。若金额涉及到外币，由机构自行转换成人民币进行填报。单位：元。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本期贷方发生额</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BQDFFSE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本年贷方发生额。若金额涉及到外币，由机构自行转换成人民币进行填报。单位：元。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期末借方余额</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QMJFYE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截止本期末借方余额。若金额涉及到外币，由机构自行转换成人民币进行填报。单位：元。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期末贷方余额</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QMDFYE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截止本期末贷方余额。若金额涉及到外币，由机构自行转换成人民币进行填报。单位：元。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416"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KJQJ</w:t>
            </w:r>
          </w:p>
        </w:tc>
        <w:tc>
          <w:tcPr>
            <w:tcW w:w="851"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002002</w:t>
            </w:r>
          </w:p>
        </w:tc>
        <w:tc>
          <w:tcPr>
            <w:tcW w:w="368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归属期间。格式：YYYYMM，年度审计报告出具后报送审计调整后数据。</w:t>
            </w:r>
          </w:p>
        </w:tc>
        <w:tc>
          <w:tcPr>
            <w:tcW w:w="709"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416"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BSZQ</w:t>
            </w:r>
          </w:p>
        </w:tc>
        <w:tc>
          <w:tcPr>
            <w:tcW w:w="851"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002016</w:t>
            </w:r>
          </w:p>
        </w:tc>
        <w:tc>
          <w:tcPr>
            <w:tcW w:w="368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40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416"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会计凭证信息表</w:t>
      </w:r>
    </w:p>
    <w:tbl>
      <w:tblPr>
        <w:tblStyle w:val="25"/>
        <w:tblW w:w="8824" w:type="dxa"/>
        <w:tblInd w:w="0" w:type="dxa"/>
        <w:tblLayout w:type="fixed"/>
        <w:tblCellMar>
          <w:top w:w="0" w:type="dxa"/>
          <w:left w:w="108" w:type="dxa"/>
          <w:bottom w:w="0" w:type="dxa"/>
          <w:right w:w="108" w:type="dxa"/>
        </w:tblCellMar>
      </w:tblPr>
      <w:tblGrid>
        <w:gridCol w:w="1406"/>
        <w:gridCol w:w="1214"/>
        <w:gridCol w:w="911"/>
        <w:gridCol w:w="3830"/>
        <w:gridCol w:w="709"/>
        <w:gridCol w:w="754"/>
      </w:tblGrid>
      <w:tr>
        <w:tblPrEx>
          <w:tblCellMar>
            <w:top w:w="0" w:type="dxa"/>
            <w:left w:w="108" w:type="dxa"/>
            <w:bottom w:w="0" w:type="dxa"/>
            <w:right w:w="108" w:type="dxa"/>
          </w:tblCellMar>
        </w:tblPrEx>
        <w:trPr>
          <w:trHeight w:val="290" w:hRule="atLeast"/>
        </w:trPr>
        <w:tc>
          <w:tcPr>
            <w:tcW w:w="140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1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1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9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KJPZXXB</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会计凭证信息表</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B0203</w:t>
            </w:r>
          </w:p>
        </w:tc>
        <w:tc>
          <w:tcPr>
            <w:tcW w:w="529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本表报送保险集团（控股）公司当期所有会计凭证。填报全科目凭证信息。</w:t>
            </w:r>
          </w:p>
        </w:tc>
      </w:tr>
      <w:tr>
        <w:tblPrEx>
          <w:tblCellMar>
            <w:top w:w="0" w:type="dxa"/>
            <w:left w:w="108" w:type="dxa"/>
            <w:bottom w:w="0" w:type="dxa"/>
            <w:right w:w="108" w:type="dxa"/>
          </w:tblCellMar>
        </w:tblPrEx>
        <w:trPr>
          <w:trHeight w:val="7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KJKMTXMC</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002015</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KJKMTXDM</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002014</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记账日期</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JZRQ</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会计记账日期。格式：YYYYMMDD。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凭证编号</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PZBH</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002013</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凭证编号。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53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KMBH</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002006</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机构实际使用的总账会计科目编码。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总账会计科目名称</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KMMC</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002007</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机构实际使用的总账会计科目编码对应的名称。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摘要</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ZY</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002011</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凭证摘要。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交易币种</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交易币借方</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JYBJF</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交易币借方发生金额。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交易币贷方</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JYBDF</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交易币贷方发生金额。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本位币借方</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BWBJF</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交易币按照既定规则的汇率折成的本位币借方发生金额。单位：元。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本位币贷方</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BWBDF</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交易币按照既定规则的汇率折成的本位币贷方发生金额。单位：元。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归属期间。格式：YYYYMM，年度审计报告出具后报送审计调整数据。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1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1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银行账户信息表</w:t>
      </w:r>
    </w:p>
    <w:tbl>
      <w:tblPr>
        <w:tblStyle w:val="25"/>
        <w:tblW w:w="8824" w:type="dxa"/>
        <w:tblInd w:w="0" w:type="dxa"/>
        <w:tblLayout w:type="fixed"/>
        <w:tblCellMar>
          <w:top w:w="0" w:type="dxa"/>
          <w:left w:w="108" w:type="dxa"/>
          <w:bottom w:w="0" w:type="dxa"/>
          <w:right w:w="108" w:type="dxa"/>
        </w:tblCellMar>
      </w:tblPr>
      <w:tblGrid>
        <w:gridCol w:w="1550"/>
        <w:gridCol w:w="1275"/>
        <w:gridCol w:w="851"/>
        <w:gridCol w:w="3685"/>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YHZHXXB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B0204</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本表报送保险集团（控股）公司所有银行账户信息。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GL_YHFDMC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开户行名称。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GL_YHZJLX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GL_YHZJHM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境内银行填写统一社会信用代码。境外银行填写企业注册码、税务号等有效代码。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GL_YHZJDQR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银行LEI编码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YHLEIBM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境外银行填写。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银行境内外标识</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YHJNWBS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是否为境外银行。参照《业务代码表》中的“境内外标识代码”，填报代码。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参照《业务代码表》中的“银行账户类型代码”，填报代码。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银行账户状态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YHZHZT</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机构银行账户的目前状态。参照《业务代码表》中的“银行账户状态代码”，填报代码。如状态为“其他”应填写备注。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货币代码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HBDM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开户日期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KHRQ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机构银行开户日期。格式：YYYYMMDD。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销户日期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XHRQ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机构银行销户日期。如未销户，填写默认值99991231。格式：YYYYMMDD。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账户境内外标识</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ZHJNWBS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是否为境外账户。参照《业务代码表》中的“境内外标识代码”，填报代码。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资金标识</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参照《业务代码表》中的“资金标识代码”，填报代码。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备注</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补充说明情况。</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归属期间。格式：YYYYMM。</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财务信息统计表</w:t>
      </w:r>
    </w:p>
    <w:tbl>
      <w:tblPr>
        <w:tblStyle w:val="25"/>
        <w:tblW w:w="8824" w:type="dxa"/>
        <w:tblInd w:w="0" w:type="dxa"/>
        <w:tblLayout w:type="fixed"/>
        <w:tblCellMar>
          <w:top w:w="0" w:type="dxa"/>
          <w:left w:w="108" w:type="dxa"/>
          <w:bottom w:w="0" w:type="dxa"/>
          <w:right w:w="108" w:type="dxa"/>
        </w:tblCellMar>
      </w:tblPr>
      <w:tblGrid>
        <w:gridCol w:w="1550"/>
        <w:gridCol w:w="1275"/>
        <w:gridCol w:w="851"/>
        <w:gridCol w:w="3685"/>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CWXXTJB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财务信息统计表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B0205</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本表报送保险集团（控股）公司当年财务信息统计指标。</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资产合计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ZCHJ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负债合计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FZHJ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负债合计。单位：元。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所有者权益合计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SYZQYHJ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所有者权益合计。单位：元。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当期营业收入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DQYYSR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当期营业支出</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DQYYZC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当期营业利润</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当期利润总额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DQLRZE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当期净利润</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DQJLR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年营业收入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NYYSR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年营业支出</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NYYZC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年营业利润</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年利润总额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NLRZE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年净利润</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NJLR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会计期间</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KJQJ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归属期间。格式：</w:t>
            </w:r>
            <w:r>
              <w:rPr>
                <w:rFonts w:ascii="宋体" w:hAnsi="宋体" w:eastAsia="宋体" w:cs="宋体"/>
                <w:color w:val="000000"/>
                <w:kern w:val="0"/>
                <w:sz w:val="21"/>
                <w:szCs w:val="21"/>
              </w:rPr>
              <w:t>YYYYMM，年度审计报告出具后报送审计报告数据。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报送周期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BSZQ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pStyle w:val="4"/>
        <w:numPr>
          <w:ilvl w:val="0"/>
          <w:numId w:val="13"/>
        </w:numPr>
        <w:tabs>
          <w:tab w:val="left" w:pos="709"/>
          <w:tab w:val="left" w:pos="993"/>
        </w:tabs>
        <w:rPr>
          <w:rFonts w:ascii="仿宋" w:hAnsi="仿宋" w:eastAsia="仿宋"/>
          <w:szCs w:val="30"/>
        </w:rPr>
      </w:pPr>
      <w:r>
        <w:rPr>
          <w:rFonts w:hint="eastAsia" w:ascii="仿宋" w:hAnsi="仿宋" w:eastAsia="仿宋"/>
        </w:rPr>
        <w:t>成员公司（不含保险集团（控股）公司）</w:t>
      </w:r>
    </w:p>
    <w:p>
      <w:pPr>
        <w:keepNext/>
        <w:keepLines/>
        <w:numPr>
          <w:ilvl w:val="1"/>
          <w:numId w:val="7"/>
        </w:numPr>
        <w:ind w:firstLineChars="0"/>
        <w:outlineLvl w:val="3"/>
        <w:rPr>
          <w:rFonts w:ascii="仿宋" w:hAnsi="仿宋" w:eastAsia="仿宋"/>
          <w:b/>
        </w:rPr>
      </w:pPr>
      <w:r>
        <w:rPr>
          <w:rFonts w:hint="eastAsia" w:ascii="仿宋" w:hAnsi="仿宋" w:eastAsia="仿宋"/>
          <w:b/>
        </w:rPr>
        <w:t>成员公司内部科目对照表</w:t>
      </w:r>
    </w:p>
    <w:tbl>
      <w:tblPr>
        <w:tblStyle w:val="25"/>
        <w:tblW w:w="8824" w:type="dxa"/>
        <w:tblInd w:w="0" w:type="dxa"/>
        <w:tblLayout w:type="fixed"/>
        <w:tblCellMar>
          <w:top w:w="0" w:type="dxa"/>
          <w:left w:w="108" w:type="dxa"/>
          <w:bottom w:w="0" w:type="dxa"/>
          <w:right w:w="108" w:type="dxa"/>
        </w:tblCellMar>
      </w:tblPr>
      <w:tblGrid>
        <w:gridCol w:w="1549"/>
        <w:gridCol w:w="1558"/>
        <w:gridCol w:w="851"/>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5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CYGSNBKMDZB</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成员公司内部科目对照表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B0301</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集团合并财务信息统计表范围内成员公司（不含保险集团（控股）公司、境外公司），总账会计全科目每一级科目由下级科目或明细账生成的关系，需要报送全量一级到最末级的会计科目。上级科目编号必须在该表中存在且具有唯一性。</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会计核算方法</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KJHSFF</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适用会计准则。参照《业务代码表》中的“会计核算方法代码”，填报代码。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机构实际使用的会计科目编码。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机构实际使用的会计科目名称。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会计科目级次</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KMJC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总账会计科目编号在科目结构中所对应的级次。未设置科目层级默认一级科目。“1-一级科目；2-二级科目；3-三级科目；4-四级科目；5-五级科目；6-六级科目”，以此类推，填报数字。</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上级科目编号</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SJKMBH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机构实际使用的总账会计科目编码。“会计科目级次”非一级时必填。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上级科目名称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SJKMMC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机构实际使用的总账会计科目编码对应的名称。“会计科目级次”非一级时必填。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会计科目类型</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总账会计科目分类。参照《业务代码表》中的“会计科目类型代码”，填报代码。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归属期间。格式：YYYYMM。</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成员公司总账会计全科目表</w:t>
      </w:r>
    </w:p>
    <w:tbl>
      <w:tblPr>
        <w:tblStyle w:val="25"/>
        <w:tblW w:w="8824" w:type="dxa"/>
        <w:tblInd w:w="0" w:type="dxa"/>
        <w:tblLayout w:type="fixed"/>
        <w:tblCellMar>
          <w:top w:w="0" w:type="dxa"/>
          <w:left w:w="108" w:type="dxa"/>
          <w:bottom w:w="0" w:type="dxa"/>
          <w:right w:w="108" w:type="dxa"/>
        </w:tblCellMar>
      </w:tblPr>
      <w:tblGrid>
        <w:gridCol w:w="1534"/>
        <w:gridCol w:w="1579"/>
        <w:gridCol w:w="849"/>
        <w:gridCol w:w="3401"/>
        <w:gridCol w:w="709"/>
        <w:gridCol w:w="752"/>
      </w:tblGrid>
      <w:tr>
        <w:tblPrEx>
          <w:tblCellMar>
            <w:top w:w="0" w:type="dxa"/>
            <w:left w:w="108" w:type="dxa"/>
            <w:bottom w:w="0" w:type="dxa"/>
            <w:right w:w="108" w:type="dxa"/>
          </w:tblCellMar>
        </w:tblPrEx>
        <w:trPr>
          <w:trHeight w:val="290" w:hRule="atLeast"/>
        </w:trPr>
        <w:tc>
          <w:tcPr>
            <w:tcW w:w="1534"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7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4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2"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CYGSZZKJQKMB</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成员公司总账会计全科目表</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B0302</w:t>
            </w:r>
          </w:p>
        </w:tc>
        <w:tc>
          <w:tcPr>
            <w:tcW w:w="4862"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本表报送集团合并财务信息统计表范围内成员公司（不含保险集团（控股）公司、境外公司）全科目报表数据，币种包括人民币汇总、外币分币种汇总。此表与内部科目对照表关系一致。</w:t>
            </w:r>
          </w:p>
        </w:tc>
      </w:tr>
      <w:tr>
        <w:tblPrEx>
          <w:tblCellMar>
            <w:top w:w="0" w:type="dxa"/>
            <w:left w:w="108" w:type="dxa"/>
            <w:bottom w:w="0" w:type="dxa"/>
            <w:right w:w="108" w:type="dxa"/>
          </w:tblCellMar>
        </w:tblPrEx>
        <w:trPr>
          <w:trHeight w:val="79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KJKMTXDM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会计科目体系代码，应具有唯一标识。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交易币种</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KMBH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002006</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机构实际使用的总账会计科目编码。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总账会计科目名称</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002007</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机构实际使用的总账会计科目编码对应的名称。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总账会计科目级次</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KMJC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总账会计科目编号在科目结构中所对应的级次。未设置科目层级默认一级科目。“1-一级科目；2-二级科目；3-三级科目；4-四级科目；5-五级科目；6-六级科目”，以此类推，填报数字。</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会计科目类型</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KMLX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002004</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总账会计科目分类。参照《业务代码表》中的“会计科目类型代码”，填报代码。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期初借方余额</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QCJFYE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本年期初借方余额。若金额涉及到外币，由机构自行转换成人民币进行填报。单位：元。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期初贷方余额</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QCDFYE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本年期初贷方余额。若金额涉及到外币，由机构自行转换成人民币进行填报。单位：元。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本期借方发生额</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BQJFFSE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本年借方发生额。若金额涉及到外币，由机构自行转换成人民币进行填报。单位：元。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本期贷方发生额</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BQDFFSE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本年贷方发生额。若金额涉及到外币，由机构自行转换成人民币进行填报。单位：元。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期末借方余额</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QMJFYE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截止本期末借方余额。若金额涉及到外币，由机构自行转换成人民币进行填报。单位：元。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期末贷方余额</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QMDFYE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截止本期末贷方余额。若金额涉及到外币，由机构自行转换成人民币进行填报。单位：元。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归属期间。格式：YYYYMM，年度审计报告出具后报送审计调整后数据。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34"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7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成员公司银行账户信息表</w:t>
      </w:r>
    </w:p>
    <w:tbl>
      <w:tblPr>
        <w:tblStyle w:val="25"/>
        <w:tblW w:w="8824" w:type="dxa"/>
        <w:tblInd w:w="0" w:type="dxa"/>
        <w:tblLayout w:type="fixed"/>
        <w:tblCellMar>
          <w:top w:w="0" w:type="dxa"/>
          <w:left w:w="108" w:type="dxa"/>
          <w:bottom w:w="0" w:type="dxa"/>
          <w:right w:w="108" w:type="dxa"/>
        </w:tblCellMar>
      </w:tblPr>
      <w:tblGrid>
        <w:gridCol w:w="1549"/>
        <w:gridCol w:w="1558"/>
        <w:gridCol w:w="851"/>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5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CYGSYHZHXXB</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成员公司银行账户信息表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B0303</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本表报送集团合并财务信息统计表范围内成员公司（不含保险集团（控股）公司、境外公司）所有银行账户信息。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银行法定名称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GL_YHFDMC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开户行名称。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银行证件类型</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GL_YHZJLX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GL_YHZJHM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境内银行填写统一社会信用代码。境外银行填写企业注册码、税务号等有效代码。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银行证件到期日</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GL_YHZJDQR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银行LEI编码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YHLEIBM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境外银行填写。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银行境内外标识</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YHJNWBS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是否为境外银行。参照《业务代码表》中的“境内外标识代码”，填报代码。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银行账户类型</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参照《业务代码表》中的“银行账户类型代码”，填报代码。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银行账户状态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YHZHZT</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机构银行账户的目前状态。参照《业务代码表》中的“银行账户状态代码”，填报代码。如状态为“其他”应填写备注。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货币代码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HBDM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开户日期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KHRQ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机构银行开户日期。格式：YYYYMMDD。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销户日期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XHRQ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机构银行销户日期。如未销户，填写默认值99991231。格式：YYYYMMDD。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账户境内外标识</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ZHJNWBS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是否为境外账户。参照《业务代码表》中的“境内外标识代码”，填报代码。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归属期间。格式：YYYYMM。</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成员公司财务信息统计表</w:t>
      </w:r>
    </w:p>
    <w:tbl>
      <w:tblPr>
        <w:tblStyle w:val="25"/>
        <w:tblW w:w="8824" w:type="dxa"/>
        <w:tblInd w:w="0" w:type="dxa"/>
        <w:tblLayout w:type="fixed"/>
        <w:tblCellMar>
          <w:top w:w="0" w:type="dxa"/>
          <w:left w:w="108" w:type="dxa"/>
          <w:bottom w:w="0" w:type="dxa"/>
          <w:right w:w="108" w:type="dxa"/>
        </w:tblCellMar>
      </w:tblPr>
      <w:tblGrid>
        <w:gridCol w:w="1549"/>
        <w:gridCol w:w="1558"/>
        <w:gridCol w:w="851"/>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5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CYGSCWXXTJB</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成员公司财务信息统计表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B0304</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本表报送集团合并财务信息统计表范围内成员公司（不含保险集团（控股）公司、境外公司）财务信息统计指标。</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境内成员公司填写统一社会信用代码，境外成员公司则填写企业注册码、税务号等有效代码。如无上述代码，机构可自行定义。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成员公司工商注册的名称。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资产合计</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ZCHJ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负债合计</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FZHJ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负债合计。单位：元。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所有者权益合计</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SYZQYHJ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所有者权益合计。单位：元。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当期营业收入</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DQYYSR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当期营业支出</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DQYYZC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当期营业利润</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DQYYLR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当期利润总额</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DQLRZE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当期净利润</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DQJLR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当月发生额。单位：元。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年营业收入</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NYYSR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年营业支出</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NYYZC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年营业利润</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NYYLR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年利润总额</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NLRZE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年净利润</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NJLR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会计期间</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KJQJ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归属期间。格式：</w:t>
            </w:r>
            <w:r>
              <w:rPr>
                <w:rFonts w:ascii="宋体" w:hAnsi="宋体" w:eastAsia="宋体" w:cs="宋体"/>
                <w:color w:val="000000"/>
                <w:kern w:val="0"/>
                <w:sz w:val="21"/>
                <w:szCs w:val="21"/>
              </w:rPr>
              <w:t>YYYYMM，年度审计报告出具后报送审计报告数据。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报送周期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BSZQ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pStyle w:val="3"/>
        <w:numPr>
          <w:ilvl w:val="0"/>
          <w:numId w:val="6"/>
        </w:numPr>
        <w:ind w:left="0"/>
        <w:rPr>
          <w:szCs w:val="30"/>
        </w:rPr>
      </w:pPr>
      <w:bookmarkStart w:id="162" w:name="_Toc14206"/>
      <w:bookmarkStart w:id="163" w:name="_Toc73958576"/>
      <w:bookmarkStart w:id="164" w:name="_Toc26556"/>
      <w:bookmarkStart w:id="165" w:name="_Toc12115"/>
      <w:bookmarkStart w:id="166" w:name="_Toc26623"/>
      <w:bookmarkStart w:id="167" w:name="_Toc9972"/>
      <w:bookmarkStart w:id="168" w:name="_Toc14559"/>
      <w:bookmarkStart w:id="169" w:name="_Toc7561"/>
      <w:bookmarkStart w:id="170" w:name="_Toc3773"/>
      <w:bookmarkStart w:id="171" w:name="_Toc9078"/>
      <w:bookmarkStart w:id="172" w:name="_Toc98147817"/>
      <w:bookmarkStart w:id="173" w:name="_Toc32748"/>
      <w:bookmarkStart w:id="174" w:name="_Toc16245"/>
      <w:bookmarkStart w:id="175" w:name="_Toc28801"/>
      <w:bookmarkStart w:id="176" w:name="_Toc13436"/>
      <w:bookmarkStart w:id="177" w:name="_Toc5317"/>
      <w:bookmarkStart w:id="178" w:name="_Toc17978"/>
      <w:bookmarkStart w:id="179" w:name="_Toc22853"/>
      <w:bookmarkStart w:id="180" w:name="_Toc26278"/>
      <w:bookmarkStart w:id="181" w:name="_Toc5318"/>
      <w:bookmarkStart w:id="182" w:name="_Toc2337"/>
      <w:bookmarkStart w:id="183" w:name="_Toc18037"/>
      <w:bookmarkStart w:id="184" w:name="_Toc29676"/>
      <w:bookmarkStart w:id="185" w:name="_Toc27190"/>
      <w:bookmarkStart w:id="186" w:name="_Toc8421"/>
      <w:bookmarkStart w:id="187" w:name="_Toc25918"/>
      <w:bookmarkStart w:id="188" w:name="_Toc4111"/>
      <w:bookmarkStart w:id="189" w:name="_Toc12450"/>
      <w:bookmarkStart w:id="190" w:name="_Toc12482"/>
      <w:bookmarkStart w:id="191" w:name="_Toc21322"/>
      <w:bookmarkStart w:id="192" w:name="_Toc22578"/>
      <w:bookmarkStart w:id="193" w:name="_Toc7834"/>
      <w:bookmarkStart w:id="194" w:name="_Toc10709"/>
      <w:bookmarkStart w:id="195" w:name="_Toc57477337"/>
      <w:bookmarkStart w:id="196" w:name="_Toc16608"/>
      <w:bookmarkStart w:id="197" w:name="_Toc22890"/>
      <w:bookmarkStart w:id="198" w:name="_Toc20805"/>
      <w:bookmarkStart w:id="199" w:name="_Toc3768"/>
      <w:bookmarkStart w:id="200" w:name="_Toc1894"/>
      <w:bookmarkStart w:id="201" w:name="_Toc20079"/>
      <w:bookmarkStart w:id="202" w:name="_Toc11209"/>
      <w:r>
        <w:rPr>
          <w:rFonts w:hint="eastAsia"/>
          <w:szCs w:val="30"/>
        </w:rPr>
        <w:t>保险集团（控股）公司业务</w:t>
      </w:r>
      <w:bookmarkEnd w:id="162"/>
      <w:bookmarkEnd w:id="163"/>
      <w:bookmarkEnd w:id="164"/>
      <w:bookmarkEnd w:id="165"/>
      <w:bookmarkEnd w:id="166"/>
      <w:bookmarkEnd w:id="167"/>
      <w:bookmarkEnd w:id="168"/>
      <w:bookmarkEnd w:id="169"/>
      <w:bookmarkEnd w:id="170"/>
      <w:bookmarkEnd w:id="171"/>
      <w:bookmarkEnd w:id="172"/>
      <w:bookmarkEnd w:id="173"/>
    </w:p>
    <w:p>
      <w:pPr>
        <w:pStyle w:val="4"/>
        <w:numPr>
          <w:ilvl w:val="0"/>
          <w:numId w:val="14"/>
        </w:numPr>
        <w:tabs>
          <w:tab w:val="left" w:pos="709"/>
          <w:tab w:val="left" w:pos="993"/>
        </w:tabs>
        <w:rPr>
          <w:rFonts w:ascii="仿宋" w:hAnsi="仿宋" w:eastAsia="仿宋"/>
        </w:rPr>
      </w:pPr>
      <w:bookmarkStart w:id="203" w:name="_Toc30674"/>
      <w:bookmarkStart w:id="204" w:name="_Toc12655"/>
      <w:bookmarkStart w:id="205" w:name="_Toc23355"/>
      <w:bookmarkStart w:id="206" w:name="_Toc22371"/>
      <w:bookmarkStart w:id="207" w:name="_Toc73958577"/>
      <w:bookmarkStart w:id="208" w:name="_Toc24933"/>
      <w:bookmarkStart w:id="209" w:name="_Toc291"/>
      <w:r>
        <w:rPr>
          <w:rFonts w:hint="eastAsia" w:ascii="仿宋" w:hAnsi="仿宋" w:eastAsia="仿宋"/>
        </w:rPr>
        <w:t>自主投资</w:t>
      </w:r>
      <w:bookmarkEnd w:id="203"/>
      <w:bookmarkEnd w:id="204"/>
      <w:bookmarkEnd w:id="205"/>
      <w:bookmarkEnd w:id="206"/>
      <w:bookmarkEnd w:id="207"/>
      <w:bookmarkEnd w:id="208"/>
      <w:bookmarkEnd w:id="209"/>
    </w:p>
    <w:p>
      <w:pPr>
        <w:keepNext/>
        <w:keepLines/>
        <w:numPr>
          <w:ilvl w:val="1"/>
          <w:numId w:val="7"/>
        </w:numPr>
        <w:ind w:firstLineChars="0"/>
        <w:outlineLvl w:val="3"/>
        <w:rPr>
          <w:rFonts w:ascii="仿宋" w:hAnsi="仿宋" w:eastAsia="仿宋"/>
          <w:b/>
        </w:rPr>
      </w:pPr>
      <w:r>
        <w:rPr>
          <w:rFonts w:hint="eastAsia" w:ascii="仿宋" w:hAnsi="仿宋" w:eastAsia="仿宋"/>
          <w:b/>
        </w:rPr>
        <w:t>自主投资账户信息表</w:t>
      </w:r>
    </w:p>
    <w:tbl>
      <w:tblPr>
        <w:tblStyle w:val="25"/>
        <w:tblW w:w="8824" w:type="dxa"/>
        <w:tblInd w:w="0" w:type="dxa"/>
        <w:tblLayout w:type="fixed"/>
        <w:tblCellMar>
          <w:top w:w="0" w:type="dxa"/>
          <w:left w:w="108" w:type="dxa"/>
          <w:bottom w:w="0" w:type="dxa"/>
          <w:right w:w="108" w:type="dxa"/>
        </w:tblCellMar>
      </w:tblPr>
      <w:tblGrid>
        <w:gridCol w:w="1406"/>
        <w:gridCol w:w="1274"/>
        <w:gridCol w:w="851"/>
        <w:gridCol w:w="3830"/>
        <w:gridCol w:w="709"/>
        <w:gridCol w:w="754"/>
      </w:tblGrid>
      <w:tr>
        <w:tblPrEx>
          <w:tblCellMar>
            <w:top w:w="0" w:type="dxa"/>
            <w:left w:w="108" w:type="dxa"/>
            <w:bottom w:w="0" w:type="dxa"/>
            <w:right w:w="108" w:type="dxa"/>
          </w:tblCellMar>
        </w:tblPrEx>
        <w:trPr>
          <w:trHeight w:val="290" w:hRule="atLeast"/>
        </w:trPr>
        <w:tc>
          <w:tcPr>
            <w:tcW w:w="140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29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ZZTZZHXXB</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自主投资账户信息表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C0101</w:t>
            </w:r>
          </w:p>
        </w:tc>
        <w:tc>
          <w:tcPr>
            <w:tcW w:w="529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本表报送保险集团（控股）公司自主投资账户信息，包括账户性质、账户基本信息、账户运作信息、账户收入信息、账户费用等信息。</w:t>
            </w:r>
          </w:p>
        </w:tc>
      </w:tr>
      <w:tr>
        <w:tblPrEx>
          <w:tblCellMar>
            <w:top w:w="0" w:type="dxa"/>
            <w:left w:w="108" w:type="dxa"/>
            <w:bottom w:w="0" w:type="dxa"/>
            <w:right w:w="108" w:type="dxa"/>
          </w:tblCellMar>
        </w:tblPrEx>
        <w:trPr>
          <w:trHeight w:val="7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账户起始运作日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ZHQSYZR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账户初始运作日期。格式：YYYYMMDD。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账户币种</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0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83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自主投资交易流水表</w:t>
      </w:r>
    </w:p>
    <w:tbl>
      <w:tblPr>
        <w:tblStyle w:val="25"/>
        <w:tblW w:w="8824" w:type="dxa"/>
        <w:tblInd w:w="0" w:type="dxa"/>
        <w:tblLayout w:type="fixed"/>
        <w:tblCellMar>
          <w:top w:w="0" w:type="dxa"/>
          <w:left w:w="108" w:type="dxa"/>
          <w:bottom w:w="0" w:type="dxa"/>
          <w:right w:w="108" w:type="dxa"/>
        </w:tblCellMar>
      </w:tblPr>
      <w:tblGrid>
        <w:gridCol w:w="1550"/>
        <w:gridCol w:w="1417"/>
        <w:gridCol w:w="849"/>
        <w:gridCol w:w="3545"/>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41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4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ZZTZJYLSB</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自主投资交易流水表</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C010</w:t>
            </w:r>
            <w:r>
              <w:rPr>
                <w:rFonts w:ascii="宋体" w:hAnsi="宋体" w:eastAsia="宋体" w:cs="宋体"/>
                <w:color w:val="000000"/>
                <w:kern w:val="0"/>
                <w:sz w:val="21"/>
                <w:szCs w:val="21"/>
              </w:rPr>
              <w:t>2</w:t>
            </w:r>
          </w:p>
        </w:tc>
        <w:tc>
          <w:tcPr>
            <w:tcW w:w="500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本表报送保险集团（控股）公司当期自主投资交易流水，包括投资资产类型、投资资产名称、交易对手、交易金额等信息。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交易编号</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JYBH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公司自行定义的交易编号，在同一账户下应具有唯一标识。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资产类型</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w:t>
            </w:r>
            <w:r>
              <w:rPr>
                <w:rFonts w:ascii="宋体" w:hAnsi="宋体" w:eastAsia="宋体" w:cs="宋体"/>
                <w:color w:val="000000"/>
                <w:kern w:val="0"/>
                <w:sz w:val="21"/>
                <w:szCs w:val="21"/>
              </w:rPr>
              <w:t>3</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参照《业务代码表》中的“资产负债统计科目代码”，填报代码。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有公开市场的资产填写公开市场资产名称，或填写合同上的资产名称。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有公开市场代码的资产填写公开市场代码，无公开市场代码的资产需要机构自定义代码。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交易对手法定名称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GL_JYDSFDMC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交易对手名称，包括中央对手方。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交易对手证件类型</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GL_JYDSZJLX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交易对手证件号码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GL_JYDSZJHM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交易对手证件到期日</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GL_JYDSZJDQR</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交易对手LEI编码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JYDSLEIBM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填写交易对手全球法人识别编码。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交易币种</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交易市场类型</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JYSCLX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003009</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参照《业务代码表》中的“交易市场类型代码”，填报代码。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交易日期</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交易行为发生日期。格式：YYYYMMDD。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交易摘要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JYZY</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002011</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交易情况描述。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资金流向</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参照《业务代码表》中的“资金流向代码”，填报代码。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交易币成交金额</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JYBCJJE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买卖资产的成交金额。</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交易币结算金额</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JYBJSJE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资产最终结算的金额，以实际收付金额为准。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本位币成交金额</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BWBCJJE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买卖资产的成交金额。单位：元。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本位币结算金额</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BWBJSJE</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资产最终结算的金额，以实际收付金额为准。单位：元。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银行账户号码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YHZHHM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本笔交易对应的银行账号。</w:t>
            </w:r>
            <w:r>
              <w:rPr>
                <w:rFonts w:hint="eastAsia" w:ascii="宋体" w:hAnsi="宋体" w:eastAsia="宋体"/>
                <w:color w:val="000000"/>
                <w:sz w:val="21"/>
                <w:szCs w:val="21"/>
              </w:rPr>
              <w:t>需与保险集团（控股）公司银行账户信息表中的银行账户号码匹配。</w:t>
            </w:r>
          </w:p>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如是通过第三方支付交易，填报本笔交易所对应的第三方支付账号关联银行账号，并在备注项内填报第三方支付信息。</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交易对手银行法定名称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GL_JYDSYHFDMC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交易对手银行开户行名称。如是场内交易，填报本机构关联交易所名称，如果交易对手通过第三方支付机构交易，则填报第三方支付机构法定名称。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交易对手银行证件类型</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GL_JYDSYHZJLX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交易对手银行证件类型，参照《业务代码表》中的“证件类型代码”，填报代码。</w:t>
            </w:r>
          </w:p>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如果是第三方支付机构，则填报第三方支付机构经营许可证件类型。</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交易对手银行证件号码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GL_JYDSYHZJHM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交易对手银行证件号码。如果交易对手通过第三方支付机构交易，则填报第三方支付机构经营许可证件号码。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交易对手银行证件到期日</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GL_JYDSYHZJDQR</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交易对手银行证件到期日。</w:t>
            </w:r>
          </w:p>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如果交易对手通过第三方支付机构交易，则填报第三方支付机构经营许可证件到期日。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交易对手银行账户号码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JYDSYHZHHM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交易对手银行账户号码。如是场内交易，填报本机构关联交易所的账户号码。如果交易对手通过第三方支付机构交易，则填报交易对手在第三方支付机构的账户号码。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备注</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r>
              <w:rPr>
                <w:rFonts w:ascii="宋体" w:hAnsi="宋体" w:eastAsia="宋体" w:cs="宋体"/>
                <w:color w:val="000000"/>
                <w:kern w:val="0"/>
                <w:sz w:val="21"/>
                <w:szCs w:val="21"/>
              </w:rPr>
              <w:t>2</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补充说明情况。</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自主投资持仓表</w:t>
      </w:r>
    </w:p>
    <w:tbl>
      <w:tblPr>
        <w:tblStyle w:val="25"/>
        <w:tblW w:w="8824" w:type="dxa"/>
        <w:tblInd w:w="0" w:type="dxa"/>
        <w:tblLayout w:type="fixed"/>
        <w:tblCellMar>
          <w:top w:w="0" w:type="dxa"/>
          <w:left w:w="108" w:type="dxa"/>
          <w:bottom w:w="0" w:type="dxa"/>
          <w:right w:w="108" w:type="dxa"/>
        </w:tblCellMar>
      </w:tblPr>
      <w:tblGrid>
        <w:gridCol w:w="1549"/>
        <w:gridCol w:w="1417"/>
        <w:gridCol w:w="992"/>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417"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ZZTZCCB</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自主投资持仓表</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C010</w:t>
            </w:r>
            <w:r>
              <w:rPr>
                <w:rFonts w:ascii="宋体" w:hAnsi="宋体" w:eastAsia="宋体" w:cs="宋体"/>
                <w:color w:val="000000"/>
                <w:kern w:val="0"/>
                <w:sz w:val="21"/>
                <w:szCs w:val="21"/>
              </w:rPr>
              <w:t>3</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本表报送保险集团（控股）公司本年自主投资持仓信息。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403"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账户代码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ZHDM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403"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资产名称</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ZCMC</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填写确权登记等有关机构登记的资产名称，若无填写合同上的资产名称。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资产代码</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ZCDM</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填写确权登记等有关机构登记的资产代码，若无填写机构自定义代码。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资产类型</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ZCLX</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w:t>
            </w:r>
            <w:r>
              <w:rPr>
                <w:rFonts w:ascii="宋体" w:hAnsi="宋体" w:eastAsia="宋体" w:cs="宋体"/>
                <w:color w:val="000000"/>
                <w:kern w:val="0"/>
                <w:sz w:val="21"/>
                <w:szCs w:val="21"/>
              </w:rPr>
              <w:t>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参照《业务代码表》中的“资产负债统计科目代码”，填报代码。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资产到期日</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ZCDQR</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资产到期日期，如无明确到期日，填写默认值99991231。格式：YYYYMMDD。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占账户净资产比重</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ZZHJZCBZ</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资产占账户净资产的比例。填数字，不填百分比，最少保留两位小数，比如12.34%填写为12.34。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估值方法</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GZFF</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参照《业务代码表》中的“估值方法代码”，填报代码。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会计核算方法</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KJHSFF</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适用会计准则。参照《业务代码表》中的“会计核算方法代码”，填报代码。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会计分类</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KJFL</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参照《业务代码表》中的“会计分类代码”，填报代码。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成本</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CB</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初始购置成本、历史（净价）成本或摊余（净价）成本。适用金融工具确认和计量（</w:t>
            </w:r>
            <w:r>
              <w:rPr>
                <w:rFonts w:ascii="宋体" w:hAnsi="宋体" w:eastAsia="宋体" w:cs="宋体"/>
                <w:color w:val="000000"/>
                <w:kern w:val="0"/>
                <w:sz w:val="21"/>
                <w:szCs w:val="21"/>
              </w:rPr>
              <w:t>2017</w:t>
            </w:r>
            <w:r>
              <w:rPr>
                <w:rFonts w:hint="eastAsia" w:ascii="宋体" w:hAnsi="宋体" w:eastAsia="宋体" w:cs="宋体"/>
                <w:color w:val="000000"/>
                <w:kern w:val="0"/>
                <w:sz w:val="21"/>
                <w:szCs w:val="21"/>
              </w:rPr>
              <w:t>）的金融资产初始成本按公允价值计量。单位：元。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账面余额</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ZMYE</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指没有扣除减值准备的账面余额。单位：元。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减值准备</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JZZB</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按持有该资产对应的“减值准备”科目余额填列。单位：元。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账面价值</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ZMJZ</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指扣除减值准备后的账面余额，等于该资产账面余额与减值准备之差。单位：元。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公允价值</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GYJZ</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指市场参与者在计量日发生的有序交易中，出售一项资产所能收到或者转移一项负债所需支付的价格。单位：元。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公允价值变动</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GYJZBD</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指持有该资产对应的“公允价值变动”当年累计发生额。单位：元。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公允价值变动损益</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GYJZBDSY</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指持有该资产对应的“公允价值变动损益”当年累计发生额。单位：元。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已实现收益</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YSXSY</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金融工具确认和计量（2006）包括各项投资产生的利息收入、价差收入、股利红利收入和相关交易费用等当年累计发生额，不包括减值准备。单位：元。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其他收益</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QTSY</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填写除“投资收益”、“利息收入”、“公允价值变动损益”之外的资金运用收益当年累计发生额，包括投资性房地产出租净收益（租金减去成本）、长期股权投资“营业外收入”等。单位：元。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资产减值损失</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ZCJZSS</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金融工具确认和计量（2006）指持有该资产对应的“资产减值损失”当年累计发生额。单位：元。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信用减值损失</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XYJZSS</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金融工具确认和计量（2017）：金融工具信用损失当年累计发生额。单位：元。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其他资产减值损失</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QTZCJZSS</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金融工具确认和计量（2017）：除“信用减值损失”外，其他资产减值损失当年累计发生额。单位：元。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利息收入</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LXSR</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003012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以摊余成本计量的金融资产和分类为以公允价值计量且其变动计入其他综合收益的金融资产按照实际利率法计算的利息收入当年累计发生额。其他项目的利息收入不得计入本项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投资收益</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TZSY</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金融工具确认和计量（2017）：对外投资收益或损失当年累计发生额。单位：元。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以公允价值计量且其变动计入其他综合收益</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YGYJZJLQQBDJRQTZHSY</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金融工具确认和计量（2017）：以公允价值计量且其变动计入其他综合收益的金融资产当年累计发生额。单位：元。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五级分类</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WJFL</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参照《业务代码表》中的“五级分类代码”，填报代码。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归属期间。格式：YYYYMM，年度审计报告出具后报送审计调整后数据。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41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15"/>
        </w:numPr>
        <w:ind w:firstLineChars="0"/>
        <w:outlineLvl w:val="3"/>
        <w:rPr>
          <w:rFonts w:ascii="仿宋" w:hAnsi="仿宋" w:eastAsia="仿宋"/>
          <w:b/>
        </w:rPr>
      </w:pPr>
      <w:r>
        <w:rPr>
          <w:rFonts w:hint="eastAsia" w:ascii="仿宋" w:hAnsi="仿宋" w:eastAsia="仿宋"/>
          <w:b/>
        </w:rPr>
        <w:t>信托计划基本信息表</w:t>
      </w:r>
    </w:p>
    <w:tbl>
      <w:tblPr>
        <w:tblStyle w:val="25"/>
        <w:tblW w:w="8824" w:type="dxa"/>
        <w:tblInd w:w="0" w:type="dxa"/>
        <w:tblLayout w:type="fixed"/>
        <w:tblCellMar>
          <w:top w:w="0" w:type="dxa"/>
          <w:left w:w="108" w:type="dxa"/>
          <w:bottom w:w="0" w:type="dxa"/>
          <w:right w:w="108" w:type="dxa"/>
        </w:tblCellMar>
      </w:tblPr>
      <w:tblGrid>
        <w:gridCol w:w="1550"/>
        <w:gridCol w:w="1275"/>
        <w:gridCol w:w="851"/>
        <w:gridCol w:w="3685"/>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XTJHJBXXB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信托计划基本信息表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4</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本表报送保险集团（控股）公司持有信托计划基本信息。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信托产品全称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XTCPQC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产品登记编号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CPDJBH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信托产品登记编码是指在中国信登所登记的信托产品唯一编码。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信托产品代码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XTCPDM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信托公司内部产品代码或编号。信托公司自定义，信托产品的内部唯一编号。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信托产品存续标识</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XTCPCXBS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枚举值为“存续(正常)；存续(展期)；存续(逾期)；终止”。终止在此表示信托产品已终止但还未出具清算报告。</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信托功能分类</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XTGNFL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枚举值为“融资类；投资类；事务管理类”。</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资管产品类型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ZGCPLX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枚举值为“固定收益类；权益类；商品及金融衍生品类；混合类”。</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36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信托财产运用方式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XTCCYYFS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股票投资；债券投资；金融衍生品；信托贷款；信贷资产转让；资产收（受）益权；资产支持证券化；准资产支持证券化；特定目的载体份额；应收账款转让；其他非标准化债权投资；其他股权投资；非私募基金类有限合伙份额；固定资产投资；另类资产投资；出售；出租；持有并管理；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管理方式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单一；集合”。根据同一信托中委托人的数量而进行的分类。单一：设立信托时委托人为单个人的信托，其中财产共有人以共有财产设立的信托属于单一信托。集合：设立信托时委托人为两个人以上（含两个）的信托。</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管理责任</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GLZR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信托合同中约定的信托公司应承担的责任（合同约定责任），枚举值为“主动管理；非主动管理”。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产品成立日期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CPCLRQ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产品实际成立日期，YYYYMMDD。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预计到期日期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YJDQRQ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根据信托合同约定计算的产品预计到期日期，YYYYMMDD，未规定到期日期或永久信托，填写99991231。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结构化属性</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JGHSX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枚举值为“分级；非分级”。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优先劣后受益权比例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YXLHSYQBL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结构化属性”为“分级”时必填。根据合同按实际认购和申购情况填写，本信托产品所有优先受益权份额与劣后受益权份额之比。如分为优先、中间、劣后，则将中间层填报至优先级。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还本付息方式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HBFXFS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参照《业务代码表》中的“还本付息方式代码”，填报代码。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付息周期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FXZQ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枚举值为“按月；按季；按半年；按年；其他”。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当前产品存续规模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DQCPCXGM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截至填报期存续的受托规模。若金额涉及到外币，自行转换成人民币进行填报。按实际金额填写，单位：元。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投资收益率</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信托计划产品的投资收益率，填数字，不填百分比，最少保留四位小数，比如12.34%填写为0.1234。如无具体费率选填“99999”。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资金运用方式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ZJYYFS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信托资金运用方式描述。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资金投向</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ZJTX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枚举值为“基础设施；工商企业；房地产；金融机构；证券类；其他”。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投向行业明细</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TXHYMX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参照《业务代码表》中的“行业类型代码”，填报代码。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信托财产运用地区</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XTCCYYDQ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填写信托财产运用地区，涉及多地的，填报主要地区。参照《业务代码表》中的“行政区划代码”，填报代码。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信用增级安排</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XYZJAP</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枚举值为“保证担保；抵押担保；质押担保；流动性支持；回购承诺；差额补足；无；其他”。可多选，以“;”隔开。</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抵质押物账面价值</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DZYWZMJZ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抵质押物的原有价值，按实际金额填写。若涉及到外币，自行转换成人民币进行填报。单位：元。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评估机构名称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PGJGMC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抵质押物价值评估时的评估机构名称，名称应与公章所使用的名称完全一致。如为内部评估，填写机构本身名称。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评估价值</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PGJZ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评估机构对抵质押物的评估价值，按实际金额填写。若金额涉及到外币，自行转换成人民币进行填报。单位：元。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评估日期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PGRQ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评估机构对抵质押物的评估日期，YYYYMMDD。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抵质押率</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DZYL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押品担保本金余额/押品评估价值。按合同内整体押品计算的抵质押率，不是单件押品计算出来的抵质押率。填数字，不填百分比，最少保留两位小数，比如12.34%填写为12.34。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受托人LEI编码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STRLEIBM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填写受托人全球法人识别编码。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GL_STRFDMC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GL_STRZJLX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GL_STRZJHM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GL_STRZJDQR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托管人LEI编码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TGRLEIBM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填写托管人全球法人识别编码。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GL_TGRFDMC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GL_TGRZJLX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GL_TGRZJHM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GL_TGRZJDQR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托管人证件到期日。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68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68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持有份额起息日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CYFEQXR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产品募集份额起息日期。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期末持有规模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QMCYGM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受益人期末持有金额，单位：元。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所属分级</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SSFJ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参照《业务代码表》中的“产品分级类别代码”，填报代码。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本级存续规模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BJCXGM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以报送时点计算，本级存续规模，单位：元。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收益率计提方式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SYLJTFS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枚举值为“固定收益率；浮动收益率；固定+浮动收益率；其他”。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持有人预期收益率</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CYRYQSYL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填写持有人预期收益率。不带百分号，按小数形式填写，保留小数点后6位，如3.1234%填写为0.031234。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收益率描述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SYLMS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收益率具体描述。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003080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全部份额实际退出时必填。枚举值为“正常持有到期；提前赎回；转让第三方；信托计划提前终止；其他”。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实际退出日期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SJTCRQ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持有人实际退出日期。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实际收益率</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全部份额实际退出时必填。不带百分号，按小数形式填写，保留小数点后6位，如3.1234%填写为0.031234。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备注</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信托产品信息及投资人信息备注。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16"/>
        </w:numPr>
        <w:ind w:firstLineChars="0"/>
        <w:outlineLvl w:val="3"/>
        <w:rPr>
          <w:rFonts w:ascii="仿宋" w:hAnsi="仿宋" w:eastAsia="仿宋"/>
          <w:b/>
        </w:rPr>
      </w:pPr>
      <w:r>
        <w:rPr>
          <w:rFonts w:hint="eastAsia" w:ascii="仿宋" w:hAnsi="仿宋" w:eastAsia="仿宋"/>
          <w:b/>
        </w:rPr>
        <w:t>信托计划融资人信息表</w:t>
      </w:r>
    </w:p>
    <w:tbl>
      <w:tblPr>
        <w:tblStyle w:val="25"/>
        <w:tblW w:w="8824" w:type="dxa"/>
        <w:tblInd w:w="0" w:type="dxa"/>
        <w:tblLayout w:type="fixed"/>
        <w:tblCellMar>
          <w:top w:w="0" w:type="dxa"/>
          <w:left w:w="108" w:type="dxa"/>
          <w:bottom w:w="0" w:type="dxa"/>
          <w:right w:w="108" w:type="dxa"/>
        </w:tblCellMar>
      </w:tblPr>
      <w:tblGrid>
        <w:gridCol w:w="1476"/>
        <w:gridCol w:w="1371"/>
        <w:gridCol w:w="969"/>
        <w:gridCol w:w="3545"/>
        <w:gridCol w:w="709"/>
        <w:gridCol w:w="754"/>
      </w:tblGrid>
      <w:tr>
        <w:tblPrEx>
          <w:tblCellMar>
            <w:top w:w="0" w:type="dxa"/>
            <w:left w:w="108" w:type="dxa"/>
            <w:bottom w:w="0" w:type="dxa"/>
            <w:right w:w="108" w:type="dxa"/>
          </w:tblCellMar>
        </w:tblPrEx>
        <w:trPr>
          <w:trHeight w:val="290" w:hRule="atLeast"/>
        </w:trPr>
        <w:tc>
          <w:tcPr>
            <w:tcW w:w="147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6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XTJHRZRXXB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信托计划融资人信息表</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5</w:t>
            </w:r>
          </w:p>
        </w:tc>
        <w:tc>
          <w:tcPr>
            <w:tcW w:w="500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本表报送保险集团（控股）公司持有信托计划融资人相关信息。</w:t>
            </w:r>
          </w:p>
        </w:tc>
      </w:tr>
      <w:tr>
        <w:tblPrEx>
          <w:tblCellMar>
            <w:top w:w="0" w:type="dxa"/>
            <w:left w:w="108" w:type="dxa"/>
            <w:bottom w:w="0" w:type="dxa"/>
            <w:right w:w="108" w:type="dxa"/>
          </w:tblCellMar>
        </w:tblPrEx>
        <w:trPr>
          <w:trHeight w:val="7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信托产品全称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XTCPQC</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信托计划全称。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产品登记编号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CPDJBH</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003046</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信托产品登记编码是指在中国信登所登记的信托产品唯一编码。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信托产品代码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XTCPDM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003047</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信托公司内部产品代码或编号。信托公司自定义，信托产品的内部唯一编号。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GL_STRFDMC</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GL_STRZJLX</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GL_STRZJHM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GL_STRZJDQR</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融资人法定名称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GL_RZRFDMC</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填写融资人全称。若为自然人姓名，隐私，保险集团（控股）公司变形。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融资人证件类型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GL_RZRZJLX</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融资人证件号码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GL_RZRZJHM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融资人证件号码。若为自然人证件号码，隐私，保险集团（控股）公司变形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融资人证件到期日</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GL_RZRZJDQR</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RZRLX</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003079</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枚举值为“自然人；个体工商户；广义政府；非金融企业；金融机构（实体）；特定目的载体；境外”。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融资人所属地区</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RZRSSDQ</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001017</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参照《业务代码表》中的“行政区划代码”，填报代码。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融资人所属行业</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RZRSSHY</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001024</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参照《业务代码表》中的“行业类型代码”，填报代码。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17"/>
        </w:numPr>
        <w:ind w:firstLineChars="0"/>
        <w:outlineLvl w:val="3"/>
        <w:rPr>
          <w:rFonts w:ascii="仿宋" w:hAnsi="仿宋" w:eastAsia="仿宋"/>
          <w:b/>
        </w:rPr>
      </w:pPr>
      <w:r>
        <w:rPr>
          <w:rFonts w:hint="eastAsia" w:ascii="仿宋" w:hAnsi="仿宋" w:eastAsia="仿宋"/>
          <w:b/>
        </w:rPr>
        <w:t>存款证实书信息表</w:t>
      </w:r>
    </w:p>
    <w:tbl>
      <w:tblPr>
        <w:tblStyle w:val="25"/>
        <w:tblW w:w="8824" w:type="dxa"/>
        <w:tblInd w:w="0" w:type="dxa"/>
        <w:tblLayout w:type="fixed"/>
        <w:tblCellMar>
          <w:top w:w="0" w:type="dxa"/>
          <w:left w:w="108" w:type="dxa"/>
          <w:bottom w:w="0" w:type="dxa"/>
          <w:right w:w="108" w:type="dxa"/>
        </w:tblCellMar>
      </w:tblPr>
      <w:tblGrid>
        <w:gridCol w:w="1551"/>
        <w:gridCol w:w="1274"/>
        <w:gridCol w:w="851"/>
        <w:gridCol w:w="3685"/>
        <w:gridCol w:w="709"/>
        <w:gridCol w:w="754"/>
      </w:tblGrid>
      <w:tr>
        <w:tblPrEx>
          <w:tblCellMar>
            <w:top w:w="0" w:type="dxa"/>
            <w:left w:w="108" w:type="dxa"/>
            <w:bottom w:w="0" w:type="dxa"/>
            <w:right w:w="108" w:type="dxa"/>
          </w:tblCellMar>
        </w:tblPrEx>
        <w:trPr>
          <w:trHeight w:val="290" w:hRule="atLeast"/>
        </w:trPr>
        <w:tc>
          <w:tcPr>
            <w:tcW w:w="155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CKZSSXXB</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bookmarkStart w:id="210" w:name="_Hlk85803627"/>
            <w:r>
              <w:rPr>
                <w:rFonts w:hint="eastAsia" w:ascii="宋体" w:hAnsi="宋体" w:eastAsia="宋体" w:cs="宋体"/>
                <w:color w:val="000000"/>
                <w:kern w:val="0"/>
                <w:sz w:val="21"/>
                <w:szCs w:val="21"/>
              </w:rPr>
              <w:t>存款证实书信息表</w:t>
            </w:r>
            <w:bookmarkEnd w:id="210"/>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6</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本表报送保险集团（控股）公司持有银行存款证实书基本信息、信用风险、交易规模以及质押相关信息。不包含活期存款。</w:t>
            </w:r>
          </w:p>
        </w:tc>
      </w:tr>
      <w:tr>
        <w:tblPrEx>
          <w:tblCellMar>
            <w:top w:w="0" w:type="dxa"/>
            <w:left w:w="108" w:type="dxa"/>
            <w:bottom w:w="0" w:type="dxa"/>
            <w:right w:w="108" w:type="dxa"/>
          </w:tblCellMar>
        </w:tblPrEx>
        <w:trPr>
          <w:trHeight w:val="7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68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68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82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存款证实书编号</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CKZSSBH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存款银行给出的存款证实书编号，包括“NO.”“浙”“（03）”等字样，如无存款证实书编号，优先填列业务编号或账号，如上述编号均没有，机构可自行编制，但需保持机构内部唯一性。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存款证实书全称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CKZSSQC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存款银行名称+发行年份+存款类型。</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存款证实书简称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CKZSSJC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发行人简称+发行年份（两位数字）+存款类型简称。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枚举值为“定期存款；协议存款；结构性存款；同业存款；大额存款”。</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存款币种</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存款银行法定名称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GL_CKYHFDMC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开户银行名称，需与存单银行签章一致。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存款银行证件类型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GL_CKYHZJLX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存款银行证件号码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GL_CKYHZJHM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存款银行证件到期日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GL_CKYHZJDQR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存款银行LEI编码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CKYHLEIBM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填写存款银行全球法人识别编码。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存款银行所在地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CKYHSZD</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参照《业务代码表》中的“行政区划代码”，填报代码。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存款银行外部信用评级</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CKYHWBXYPJ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填写最新外部信用评级。参照《业务代码表》中的“信用评级等级代码”，填报代码。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外部评级机构</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WBPJJG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评级机构名称。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存款起息日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CKQXR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存款起息日。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存款到期日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存款证实书到期日。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存款期限</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CKQX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按实际存款期限填写。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期限单位</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QXDW</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存款期限单位。枚举值为“日；月；年”。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利率类型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LLLX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枚举值为“浮动；固定；结构化；其他”。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存款利率</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CKLL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利率为直接按小数形式填写，保留小数点后6位。非固定利率以当前节点利率填写。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计息基准</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JXJZ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枚举值为“实际/365；实际/实际；实际/360；30/360”。</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基准利率</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JZLL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“利率类型”为“浮动”时必填。基准利率的类型，参照《业务代码表》中的“基准利率代码”，填报代码。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利差</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“利率类型”为“浮动”时为必填。利差点数，可以为正数、零或负数，不含%，如：填50代表50BP表示0.50%。</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利率描述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LLMS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当“利率类型”“存款利率”“计息基准”“基准利率”“利差”等数据项无法完全体现计息结构时，此项填写具体情况。如前述字段能够体现计息结构，可选填“无”。</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年付息频率</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NFXPL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枚举值为“0；1；2；4；12”。0为到期一次还本付息；1年；2半年；4季；12月。</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存款本金</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CKBJ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存款本金，单位：元。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剩余本金</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SYBJ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剩余本金。单位：元。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是否可以提前支取</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SFKYTQZQ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最近一次提前支取日期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ZJYCTQZQRQ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如发生过提前支取，填写最近一次提前支取发生日期。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是否质押</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SFZY</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质押用途</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ZYYT</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“是否质押”为“是”时必填。包括：融资；担保；委托贷款。</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备注</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填写其他需要报送的但是目前无法标准化的信息。</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18"/>
        </w:numPr>
        <w:ind w:firstLineChars="0"/>
        <w:outlineLvl w:val="3"/>
        <w:rPr>
          <w:rFonts w:ascii="仿宋" w:hAnsi="仿宋" w:eastAsia="仿宋"/>
          <w:b/>
        </w:rPr>
      </w:pPr>
      <w:r>
        <w:rPr>
          <w:rFonts w:hint="eastAsia" w:ascii="仿宋" w:hAnsi="仿宋" w:eastAsia="仿宋"/>
          <w:b/>
        </w:rPr>
        <w:t>理财产品信息表</w:t>
      </w:r>
    </w:p>
    <w:tbl>
      <w:tblPr>
        <w:tblStyle w:val="25"/>
        <w:tblW w:w="8824" w:type="dxa"/>
        <w:tblInd w:w="0" w:type="dxa"/>
        <w:tblLayout w:type="fixed"/>
        <w:tblCellMar>
          <w:top w:w="0" w:type="dxa"/>
          <w:left w:w="108" w:type="dxa"/>
          <w:bottom w:w="0" w:type="dxa"/>
          <w:right w:w="108" w:type="dxa"/>
        </w:tblCellMar>
      </w:tblPr>
      <w:tblGrid>
        <w:gridCol w:w="1550"/>
        <w:gridCol w:w="1275"/>
        <w:gridCol w:w="853"/>
        <w:gridCol w:w="3683"/>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LCCPXXB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理财产品信息表</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7</w:t>
            </w:r>
          </w:p>
        </w:tc>
        <w:tc>
          <w:tcPr>
            <w:tcW w:w="514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本表报送保险集团（控股）公司持有的银行及银行理财子公司理财产品信息。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683"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683"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CPDM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产品起始日期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CPQSRQ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产品初始运作日期。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产品预计终止日期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CPYJZZRQ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产品预计终止日期。默认值99991231。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发行方式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FXFS</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003040</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枚举值为“公开；不公开”。</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运行方式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YXFS</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003033</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枚举值为“开放式；封闭式”。</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产品发行人法定名称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GL_CPFXRFDMC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指产品说明书中登载的发行人全称。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产品发行人证件类型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GL_CPFXRZJLX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产品发行人证件类型，参照《业务代码表》中的“证件类型代码”，填报代码。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产品发行人证件号码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GL_CPFXRZJHM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产品发行人证件号码。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产品发行人证件到期日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GL_CPFXRZJDQR</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产品发行人证件到期日。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发行人LEI编码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FXRLEIBM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填写发行人全球法人识别编码。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发行人所在地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FXRSZD</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参照《业务代码表》中的“行政区划代码”，填报代码。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发行人类型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FXRLX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枚举值为“银行；银行理财子公司”。</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核算方式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HSFS</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003014</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枚举值为“净值型；非净值型”。</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36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CPLX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枚举值为“固定收益类；权益类；商品及金融衍生品类；混合类 ”。固定收益类：投资债权类资产的比例不低于80%；权益类：投资股权类资产的比例不低于80%；商品及金融衍生品类：投资商品及金融衍生品的比例不低于80%；混合类：投资债权类资产、股权类资产、商品及金融衍生品且任一资产的投资比例未达到前三类标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收益类型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SYLX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003064</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枚举值为“保本保收益类；保本浮动收益类；非保本浮动收益类；其他”。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风险评级</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FXPJ</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根据《商业银行理财业务监督管理办法》第二十七条：理财产品风险评级结果应当以风险等级体现，由低到高至少包括一级至五级。枚举值为“一级；二级；三级；四级；五级”。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资金投向</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ZJTX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003053</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枚举值为“基础设施；工商企业；房地产；金融机构；证券类；其他”。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结构化属性</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JGHSX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枚举值为“分级；非分级”。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结构化级别</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JGHJB</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“结构化属性”为“分级”时必填。参照《业务代码表》中的“产品分级类别代码”，填报代码。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交易结构描述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JYJGMS</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交易结构文字描述。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预期收益率上限</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YQSYLSX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填写持有人购买产品时持有人的预期收益率上限。不带百分号，按小数形式填写，保留小数点后6位，如3.1234%填写为0.031234。默认999999。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预期收益率下限</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YQSYLXX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填写持有人购买产品时持有人的预期收益率下限。不带百分号，按小数形式填写，保留小数点后6位，如3.1234%填写为0.031234。默认999999。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成本</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CB</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初始投资总成本，单位：元。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单位净值</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DWJZ</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“核算方式”为“净值型”时必填。单位：元/份。</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市值</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SZ</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备注</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填写其他需要报送的但是目前无法标准化的信息。</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持有状态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CYZT</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003066</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枚举值为“持有；退出”。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产品退出日期。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实际收益率</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SJSYL</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“持有状态”选“退出”时必填。填写持有人退出时持有人实际收益率。不带百分号，按小数形式填写，保留小数点后6位，如3.1234%填写为0.031234。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违约本息合计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WYBXHJ</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截至本报送期末，发行人或融资主体发生违约本息合计，单位：元。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违约本金余额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WYBJYE</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截至本报送期末，发行人或融资主体发生违约的本金，单位：元。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违约利息余额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WYLXYE</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截至本报送期末，发行人或融资主体发生违约的利息，单位：元。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违约发生日期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WYFSRQ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产品违约日期。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19"/>
        </w:numPr>
        <w:ind w:firstLineChars="0"/>
        <w:outlineLvl w:val="3"/>
        <w:rPr>
          <w:rFonts w:ascii="仿宋" w:hAnsi="仿宋" w:eastAsia="仿宋"/>
          <w:b/>
        </w:rPr>
      </w:pPr>
      <w:r>
        <w:rPr>
          <w:rFonts w:hint="eastAsia" w:ascii="仿宋" w:hAnsi="仿宋" w:eastAsia="仿宋"/>
          <w:b/>
        </w:rPr>
        <w:t>证券公司专项资管计划信息表</w:t>
      </w:r>
    </w:p>
    <w:tbl>
      <w:tblPr>
        <w:tblStyle w:val="25"/>
        <w:tblW w:w="8824" w:type="dxa"/>
        <w:tblInd w:w="0" w:type="dxa"/>
        <w:tblLayout w:type="fixed"/>
        <w:tblCellMar>
          <w:top w:w="0" w:type="dxa"/>
          <w:left w:w="108" w:type="dxa"/>
          <w:bottom w:w="0" w:type="dxa"/>
          <w:right w:w="108" w:type="dxa"/>
        </w:tblCellMar>
      </w:tblPr>
      <w:tblGrid>
        <w:gridCol w:w="1691"/>
        <w:gridCol w:w="1701"/>
        <w:gridCol w:w="851"/>
        <w:gridCol w:w="3118"/>
        <w:gridCol w:w="709"/>
        <w:gridCol w:w="754"/>
      </w:tblGrid>
      <w:tr>
        <w:tblPrEx>
          <w:tblCellMar>
            <w:top w:w="0" w:type="dxa"/>
            <w:left w:w="108" w:type="dxa"/>
            <w:bottom w:w="0" w:type="dxa"/>
            <w:right w:w="108" w:type="dxa"/>
          </w:tblCellMar>
        </w:tblPrEx>
        <w:trPr>
          <w:trHeight w:val="290" w:hRule="atLeast"/>
        </w:trPr>
        <w:tc>
          <w:tcPr>
            <w:tcW w:w="16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70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58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ZQGSZXZGJHXXB</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bookmarkStart w:id="211" w:name="_Hlk85803944"/>
            <w:r>
              <w:rPr>
                <w:rFonts w:hint="eastAsia" w:ascii="宋体" w:hAnsi="宋体" w:eastAsia="宋体" w:cs="宋体"/>
                <w:color w:val="000000"/>
                <w:kern w:val="0"/>
                <w:sz w:val="21"/>
                <w:szCs w:val="21"/>
              </w:rPr>
              <w:t>证券公司专项资管计划信息表</w:t>
            </w:r>
            <w:bookmarkEnd w:id="211"/>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8</w:t>
            </w:r>
          </w:p>
        </w:tc>
        <w:tc>
          <w:tcPr>
            <w:tcW w:w="458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本表报送保险集团（控股）公司持有证券公司专项资管计划信息。</w:t>
            </w:r>
          </w:p>
        </w:tc>
      </w:tr>
      <w:tr>
        <w:tblPrEx>
          <w:tblCellMar>
            <w:top w:w="0" w:type="dxa"/>
            <w:left w:w="108" w:type="dxa"/>
            <w:bottom w:w="0" w:type="dxa"/>
            <w:right w:w="108" w:type="dxa"/>
          </w:tblCellMar>
        </w:tblPrEx>
        <w:trPr>
          <w:trHeight w:val="7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118"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118"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003017</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持有余额</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投资人持有余额，单位：元。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产品管理人法定名称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GL_CPGLRFDMC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产品管理人证件类型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GL_CPGLRZJLX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产品管理人证件号码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GL_CPGLRZJHM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产品管理人证件到期日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GL_CPGLRZJDQR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产品管理人LEI编码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CPGLRLEIBM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填写产品管理人全球法人识别编码。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原始权益人</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YSQYR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原始权益人全称。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基础资产名称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JCZCMC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基础资产全称。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基础资产类别</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JCZCLB</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003030</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枚举值为“单一项目；一组项目”。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基础资产类型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JCZCLX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003034</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枚举值为“融资租赁；金融租赁；保理债权；小额贷款；应收账款；基础设施收费权；重组债权；股权；供应链资产；信托资产；保单；其他”，可多选。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产品份额起息日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CPFEQXR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产品募集份额起息日期。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产品预计到期日期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CPYJDQRQ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产品预计到期日期。若没有则填写99991231。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是否含权</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SFHQ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含权结构</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HQJG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“是否含权”为“是”时必填。描述含权期限结构，例如：a+b、a+b+c。</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选择权类型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XZQLX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003023</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“是否含权”为“是”时必填。填写选择权类型。包括：投资人选择权；融资人选择权；双向选择权。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外部信用评级</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WBXYPJ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参照《业务代码表》中的“信用评级等级代码”，填报代码。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外部评级机构</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WBPJJG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评级机构名称。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资金运用</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ZJYY</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003067</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文字描述，如用于某项目或投资某企业债。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所属分级</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SSFJ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003027</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参照《业务代码表》中的“产品分级类别代码”，填报代码。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级别细分</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JBXF</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当同一分级中存在进一步分级情况时，描述具体所属级别，例如：优先A-1、优先A-2等。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证券持有人预期收益形式</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ZQCYRYQSYXS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枚举值为“固定费率；固定费用；浮动费率；其他费率”。</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证券持有人预期收益率</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ZQCYRYQSYL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填写年化费率，填数字，不填百分比，最少保留四位小数，比如12.34%填写为0.1234。如无法计算预期收益率，选填“99999”。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证券持有人预期收益描述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ZQCYRYQSYMS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按产品合同约定的证券持有人预期收益率情况填写。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利率类型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LLLX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枚举值为“浮动；固定；结构化；其他”。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利率浮动形式</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LLFDXS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枚举值为“即时；按月；按季度；按年”。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还本付息方式</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HBFXFS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003024</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参照《业务代码表》中的“还本付息方式代码”，填报代码。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付息周期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FXZQ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枚举值为“按月；按季；按半年；按年；其他”。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持有状态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CYZT</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003066</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枚举值为“持有；退出”。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“持有状态”为“退出”时必填。填写产品退出日期。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实际收益率</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“持有状态”为“退出”时必填。填写持有人退出时持有人实际收益率。按不带百分号，按小数形式填写，保留小数点后6位，如3.1234%填写为0.031234。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违约本息合计</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WYBXHJ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截至本报送期末，发行人或融资主体发生违约本息合计，单位：元。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违约本金余额</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WYBJYE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截至本报送期末，发行人或融资主体发生违约的本金，单位：元。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违约利息余额</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WYLXYE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截至本报送期末，发行人或融资主体发生违约的利息，单位：元。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违约发生日期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WYFSRQ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产品违约日期。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20"/>
        </w:numPr>
        <w:ind w:firstLineChars="0"/>
        <w:outlineLvl w:val="3"/>
        <w:rPr>
          <w:rFonts w:ascii="仿宋" w:hAnsi="仿宋" w:eastAsia="仿宋"/>
          <w:b/>
        </w:rPr>
      </w:pPr>
      <w:r>
        <w:rPr>
          <w:rFonts w:hint="eastAsia" w:ascii="仿宋" w:hAnsi="仿宋" w:eastAsia="仿宋"/>
          <w:b/>
        </w:rPr>
        <w:t>信贷资产支持证券信息表</w:t>
      </w:r>
    </w:p>
    <w:tbl>
      <w:tblPr>
        <w:tblStyle w:val="25"/>
        <w:tblW w:w="8824" w:type="dxa"/>
        <w:tblInd w:w="0" w:type="dxa"/>
        <w:tblLayout w:type="fixed"/>
        <w:tblCellMar>
          <w:top w:w="0" w:type="dxa"/>
          <w:left w:w="108" w:type="dxa"/>
          <w:bottom w:w="0" w:type="dxa"/>
          <w:right w:w="108" w:type="dxa"/>
        </w:tblCellMar>
      </w:tblPr>
      <w:tblGrid>
        <w:gridCol w:w="1549"/>
        <w:gridCol w:w="1558"/>
        <w:gridCol w:w="851"/>
        <w:gridCol w:w="3403"/>
        <w:gridCol w:w="709"/>
        <w:gridCol w:w="754"/>
      </w:tblGrid>
      <w:tr>
        <w:tblPrEx>
          <w:tblCellMar>
            <w:top w:w="0" w:type="dxa"/>
            <w:left w:w="108" w:type="dxa"/>
            <w:bottom w:w="0" w:type="dxa"/>
            <w:right w:w="108" w:type="dxa"/>
          </w:tblCellMar>
        </w:tblPrEx>
        <w:trPr>
          <w:trHeight w:val="290" w:hRule="atLeast"/>
        </w:trPr>
        <w:tc>
          <w:tcPr>
            <w:tcW w:w="1549"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5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XDZCZCZQXXB</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信贷资产支持证券信息表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9</w:t>
            </w:r>
          </w:p>
        </w:tc>
        <w:tc>
          <w:tcPr>
            <w:tcW w:w="486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本表报送保险集团（控股）公司持有信贷资产支持证券信息。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403"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403"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填写确权登记等有关机构登记的产品名称，若无填写合同上的产品名称。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产品代码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填写确权登记等有关机构登记的产品代码，若无填写机构自定义代码。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持有余额</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投资人持有余额，单位：元。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受托机构法定名称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GL_STJGFDMC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受托机构证件类型</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GL_STJGZJLX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受托机构证件号码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GL_STJGZJHM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受托机构证件到期日</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GL_STJGZJDQR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受托机构LEI编码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STJGLEIBM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填写受托机构全球法人识别编码。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发起机构法定名称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GL_FQJGFDMC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发起机构法定名称。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发起机构证件类型</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GL_FQJGZJLX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发起机构证件类型，参照《业务代码表》中的“证件类型代码”，填报代码。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发起机构证件号码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GL_FQJGZJHM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发起机构证件号码。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发起机构证件到期日</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GL_FQJGZJDQR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发起机构证件到期日。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基础资产名称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JCZCMC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基础资产全称。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基础资产类别</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JCZCLB</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枚举值为“单一项目；一组项目”。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基础资产类型</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JCZCLX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枚举值为“企业贷款；汽车贷款；个人住房抵押贷款；其他”，可多选。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产品份额起息日</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CPFEQXR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产品募集份额起息日期。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产品预计到期日期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CPYJDQRQ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产品预计到期日期。若没有则填写99991231。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是否含权</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SFHQ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含权结构</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HQJG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“是否含权”为“是”时必填。描述含权期限结构，例如：a+b、a+b+c。</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选择权类型</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XZQLX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“是否含权”为“是”时必填。填写选择权类型。包括：投资人选择权；融资人选择权；双向选择权。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资金运用</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ZJYY</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文字描述，如用于某项目或投资某企业债。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所属分级</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SSFJ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参照《业务代码表》中的“产品分级类别代码”，填报代码。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级别细分</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JBXF</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当同一分级中存在进一步分级情况时，描述具体所属级别，例如：优先A-1、优先A-2等。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外部信用评级</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WBXYPJ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优先填写持有级别的信用评级。参照《业务代码表》中的“信用评级等级代码”，填报代码。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外部评级机构</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WBPJJG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评级机构名称。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证券持有人预期收益形式</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ZQCYRYQSYXS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枚举值为“固定费率；固定费用；浮动费率；其他费率”。</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证券持有人预期收益率</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ZQCYRYQSYL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填写年化费率，填数字，不填百分比，最少保留四位小数，比如12.34%填写为0.1234。如无法计算预期收益率，选填“99999”。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证券持有人预期收益描述</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ZQCYRYQSYMS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按产品合同约定的证券持有人预期收益率情况填写。</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持有状态</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CYZT</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003066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枚举值为“持有；退出”。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“持有状态”为“退出”时必填。产品退出日期。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实际收益率</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“持有状态”为“退出”时必填。填写持有人退出时持有人实际收益率。不带百分号，按小数形式填写，保留小数点后6位，如3.1234%填写为0.031234。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违约本息合计</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WYBXHJ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截至本报送期末，发行人或融资主体发生违约本息合计，单位：元。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违约本金余额</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WYBJYE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截至本报送期末，发行人或融资主体发生违约的本金，单位：元。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违约利息余额</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WYLXYE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截至本报送期末，发行人或融资主体发生违约的利息，单位：元。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违约发生日期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WYFSRQ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产品违约日期。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49"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5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21"/>
        </w:numPr>
        <w:ind w:firstLineChars="0"/>
        <w:outlineLvl w:val="3"/>
        <w:rPr>
          <w:rFonts w:ascii="仿宋" w:hAnsi="仿宋" w:eastAsia="仿宋"/>
          <w:b/>
        </w:rPr>
      </w:pPr>
      <w:r>
        <w:rPr>
          <w:rFonts w:hint="eastAsia" w:ascii="仿宋" w:hAnsi="仿宋" w:eastAsia="仿宋"/>
          <w:b/>
        </w:rPr>
        <w:t>直接股权投资信息表</w:t>
      </w:r>
    </w:p>
    <w:tbl>
      <w:tblPr>
        <w:tblStyle w:val="25"/>
        <w:tblW w:w="8824" w:type="dxa"/>
        <w:tblInd w:w="0" w:type="dxa"/>
        <w:tblLayout w:type="fixed"/>
        <w:tblCellMar>
          <w:top w:w="0" w:type="dxa"/>
          <w:left w:w="108" w:type="dxa"/>
          <w:bottom w:w="0" w:type="dxa"/>
          <w:right w:w="108" w:type="dxa"/>
        </w:tblCellMar>
      </w:tblPr>
      <w:tblGrid>
        <w:gridCol w:w="1551"/>
        <w:gridCol w:w="1274"/>
        <w:gridCol w:w="851"/>
        <w:gridCol w:w="3685"/>
        <w:gridCol w:w="709"/>
        <w:gridCol w:w="754"/>
      </w:tblGrid>
      <w:tr>
        <w:tblPrEx>
          <w:tblCellMar>
            <w:top w:w="0" w:type="dxa"/>
            <w:left w:w="108" w:type="dxa"/>
            <w:bottom w:w="0" w:type="dxa"/>
            <w:right w:w="108" w:type="dxa"/>
          </w:tblCellMar>
        </w:tblPrEx>
        <w:trPr>
          <w:trHeight w:val="290" w:hRule="atLeast"/>
        </w:trPr>
        <w:tc>
          <w:tcPr>
            <w:tcW w:w="155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4"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ZJGQTZXXB</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直接股权投资信息表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110</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本表报送保险集团（控股）公司持有未上市企业的直接股权投资相关信息。</w:t>
            </w:r>
          </w:p>
        </w:tc>
      </w:tr>
      <w:tr>
        <w:tblPrEx>
          <w:tblCellMar>
            <w:top w:w="0" w:type="dxa"/>
            <w:left w:w="108" w:type="dxa"/>
            <w:bottom w:w="0" w:type="dxa"/>
            <w:right w:w="108" w:type="dxa"/>
          </w:tblCellMar>
        </w:tblPrEx>
        <w:trPr>
          <w:trHeight w:val="7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68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68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填写确权登记等有关机构登记的资产名称，若无填写合同上的资产名称。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资产代码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填写确权登记等有关机构登记的资产代码，若无填写机构自定义代码。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是否属于重大股权投资</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SFSYZDGQTZ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重大股权投资指对拟投资企业实施控制的投资行为。参照《业务代码表》中的“是否判断代码”，填报代码。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是否属于关联交易</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SFSYGLJY</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投资前与标的企业是否存在关联方关系。参照《业务代码表》中的“是否判断代码”，填报代码。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是否派驻人员</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SFPZRY</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是否选派董事、监事或重要岗位人员。参照《业务代码表》中的“是否判断代码”，填报代码。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派驻人员情况</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PZRYQK</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填写派出的股东代表、董事、监事、高管的姓名及岗位。</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标的企业法定名称</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GL_BDQYFDMC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名称应与营业执照上所使用的名称完全一致。如暂未取得营业执照，机构可自行定义。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标的企业证件类型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GL_BDQYZJLX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标的企业证件号码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GL_BDQYZJHM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标的企业证件到期日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GL_BDQYZJDQR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标的企业LEI编码</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BDQYLEIBM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填写标的企业全球法人识别编码。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境内外标识</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JNWBS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填报境内外标识。参照《业务代码表》中的“境内外标识代码”，填报代码。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标的企业所属地区</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BDQYSSDQ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参照《业务代码表》中的“行政区划代码”，填报代码。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标的企业控股股东性质</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BDQYKGGDXZ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枚举值为“中央国有企业，地方国有企业，民营企业，外资企业，公众公司，其他”。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标的企业类型</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BDQYLX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枚举值为“保险类企业；非保险类金融企业；能源企业；资源企业；保险业务相关企业；其他”。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标的企业所属行业</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BDQYSSHY</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001024</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参照《业务代码表》中的“行业类型代码”，填报代码。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政策标签</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ZCBQ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参照《业务代码表》中的“政策标签代码”，填报代码。可多选，如存在多个标签，以“;”隔开。如为其他，需在备注里描述。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总资产</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净资产</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JZC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累计营业收入</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LJYYSR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累计净利润</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LJJLR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初始投资日期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CSTZRQ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以投资合同中初始投资日期为准。如合同未约定初始投资日期，以首笔出资支付日期为准。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标的企业估值</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BDQYGZ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投资时点标的企业估值。若金额涉及到外币，由机构自行转换成人民币进行填报。单位：元。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初始持股占比</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CSCGZB</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初始持股占比，填数字，不填百分比，最少保留两位小数，比如12.34%填写为12.34。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控股方式</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KGFS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003081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枚举值为“绝对控股，相对控股，协议控股，其他，非控股”。</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投资币种</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初始投资金额</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CSTZJE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累计投资金额</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LJTZJE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期末投资账面余额</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QMTZZMYE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期末投资账面价值</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QMTZZMJZ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期末最新持股占比</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QMZXCGZB</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数据填报口径为截至报送日上月月末数据，填数字，不填百分比，最少保留两位小数，比如12.34%填写为12.34。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投资以来累计实现收益</w:t>
            </w:r>
          </w:p>
        </w:tc>
        <w:tc>
          <w:tcPr>
            <w:tcW w:w="1274"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TZYLLJSXSY</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数据填报口径为截至报送日上月月末数据，单位：元。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当年收益率</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DNSYL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当年以来的收益率，需年化。填数字，不填百分比，最少保留四位小数，比如12.34%填写为0.1234。默认值99999。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累计收益率</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LJSYL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投资以来的累计收益率，填数字，不填百分比，最少保留四位小数，比如12.34%填写为0.1234。默认值99999。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是 </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是否退出</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SFTC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“是否退出”为“是”时必填。填写退出日期。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退出方式</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TCFS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“是否退出”为“是”时必填。填写退出方式。包括：回购；清算；转让第三方；IPO；并购；其他。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备注</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填写其他需要报送的但是目前无法标准化的信息。</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rPr>
          <w:trHeight w:val="820" w:hRule="atLeast"/>
        </w:trPr>
        <w:tc>
          <w:tcPr>
            <w:tcW w:w="155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22"/>
        </w:numPr>
        <w:ind w:firstLineChars="0"/>
        <w:outlineLvl w:val="3"/>
        <w:rPr>
          <w:rFonts w:ascii="仿宋" w:hAnsi="仿宋" w:eastAsia="仿宋"/>
          <w:b/>
        </w:rPr>
      </w:pPr>
      <w:r>
        <w:rPr>
          <w:rFonts w:hint="eastAsia" w:ascii="仿宋" w:hAnsi="仿宋" w:eastAsia="仿宋"/>
          <w:b/>
        </w:rPr>
        <w:t>私募投资基金信息表</w:t>
      </w:r>
    </w:p>
    <w:tbl>
      <w:tblPr>
        <w:tblStyle w:val="25"/>
        <w:tblW w:w="8824" w:type="dxa"/>
        <w:tblInd w:w="0" w:type="dxa"/>
        <w:tblLayout w:type="fixed"/>
        <w:tblCellMar>
          <w:top w:w="0" w:type="dxa"/>
          <w:left w:w="108" w:type="dxa"/>
          <w:bottom w:w="0" w:type="dxa"/>
          <w:right w:w="108" w:type="dxa"/>
        </w:tblCellMar>
      </w:tblPr>
      <w:tblGrid>
        <w:gridCol w:w="1550"/>
        <w:gridCol w:w="1275"/>
        <w:gridCol w:w="853"/>
        <w:gridCol w:w="3683"/>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SMTZJJXXB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私募投资基金信息表</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111</w:t>
            </w:r>
          </w:p>
        </w:tc>
        <w:tc>
          <w:tcPr>
            <w:tcW w:w="514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本表报送保险集团（控股）公司持有私募投资基金相关信息。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683"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683"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填写确权登记等有关机构登记的资产名称，或有关机构备案名称。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填写确权登记等有关机构登记的资产代码，或有关机构备案编码，若无填写机构自定义代码。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投资期期限</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TZQQX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003020</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填写基金投资期期限。</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退出期期限</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TCQQX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003020</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填写基金退出期期限，期限单位需与投资期期限相同。</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期限单位</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QXDW</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003021</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填写基金期限单位。枚举值为“日；月；年”。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管理方式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GLFS</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管理方式。枚举值为“参与；实际控制”。参与是指仅作为基金的出资人，不实际控制基金管理人；实际控制是指为基金管理人的第一大股东或出资人，并通过投资关系、协议或者其他安排，能够实际支配基金管理人行为。</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基金组织形式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JJZZXS</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003031</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填写基金组织形式。枚举值为“公司型；契约型；合伙型；其他”。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境内外标识</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JNWBS</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002017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基金境内外标识。参照《业务代码表》中的“境内外标识代码”，填报代码。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成立日期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CLRQ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填写基金成立日期。以基金在有关部门登记注册的日期为准。如无法获取，以合同签署日期为准。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到期日期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DQRQ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填写基金到期日期。以投资合同中到期日期为准。如未到期，填写默认值99991231。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GL_PTHHRFDMC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普通合伙人全称。“基金组织形式”为“合伙型”时必填。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GL_PTHHRZJLX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普通合伙人证件类型。“基金组织形式”为“合伙型”时必填。参照《业务代码表》中的“证件类型代码”，填报代码。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GL_PTHHRZJHM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普通合伙人证件号码。“基金组织形式”为“合伙型”时必填。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GL_PTHHRZJDQR</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普通合伙人LEI编码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PTHHRLEIBM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普通合伙人识别编码。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GL_JJGLRFDMC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基金管理人法定名称。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GL_JJGLRZJLX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GL_JJGLRZJHM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基金管理人证件号码。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GL_JJGLRZJDQR</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基金管理人LEI编码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JJGLRLEIBM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001004</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基金管理人全球法人识别编码。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有限合伙人名称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YXHHRMC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001016</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有限合伙人名称全称。如有多个需列填，以英文分号“;”分隔。</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基金总规模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JJZGM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6"/>
                <w:rFonts w:hint="default"/>
                <w:sz w:val="21"/>
                <w:szCs w:val="21"/>
              </w:rPr>
              <w:t>填写</w:t>
            </w:r>
            <w:r>
              <w:rPr>
                <w:rStyle w:val="55"/>
                <w:rFonts w:ascii="宋体" w:hAnsi="宋体" w:eastAsia="宋体"/>
                <w:sz w:val="21"/>
                <w:szCs w:val="21"/>
              </w:rPr>
              <w:t>基金</w:t>
            </w:r>
            <w:r>
              <w:rPr>
                <w:rStyle w:val="56"/>
                <w:rFonts w:hint="default"/>
                <w:sz w:val="21"/>
                <w:szCs w:val="21"/>
              </w:rPr>
              <w:t>总规模。以投资合同中基金总规模为准。若金额涉及到外币，由机构自行转换成人民币进行填报。单位：元。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基金分类</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JJFL</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003036</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6"/>
                <w:rFonts w:hint="default"/>
                <w:sz w:val="21"/>
                <w:szCs w:val="21"/>
              </w:rPr>
              <w:t>填写</w:t>
            </w:r>
            <w:r>
              <w:rPr>
                <w:rStyle w:val="55"/>
                <w:rFonts w:ascii="宋体" w:hAnsi="宋体" w:eastAsia="宋体"/>
                <w:sz w:val="21"/>
                <w:szCs w:val="21"/>
              </w:rPr>
              <w:t>基金</w:t>
            </w:r>
            <w:r>
              <w:rPr>
                <w:rStyle w:val="56"/>
                <w:rFonts w:hint="default"/>
                <w:sz w:val="21"/>
                <w:szCs w:val="21"/>
              </w:rPr>
              <w:t>分类。枚举值为“私募证券投资基金；私募证券类FOF基金；私募股权投资基金；私募股权投资类FOF基金；创业投资基金；创业投资类FOF基金；其他类别私募基金；其他类别私募FOF基金”。</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投资方向</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TZFX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6"/>
                <w:rFonts w:hint="default"/>
                <w:sz w:val="21"/>
                <w:szCs w:val="21"/>
              </w:rPr>
              <w:t>填写</w:t>
            </w:r>
            <w:r>
              <w:rPr>
                <w:rStyle w:val="55"/>
                <w:rFonts w:ascii="宋体" w:hAnsi="宋体" w:eastAsia="宋体"/>
                <w:sz w:val="21"/>
                <w:szCs w:val="21"/>
              </w:rPr>
              <w:t>基金</w:t>
            </w:r>
            <w:r>
              <w:rPr>
                <w:rStyle w:val="56"/>
                <w:rFonts w:hint="default"/>
                <w:sz w:val="21"/>
                <w:szCs w:val="21"/>
              </w:rPr>
              <w:t>投资方向。枚举值为“综合；先进制造；能源；建筑；交通；电子信息；金融；房地产；医疗健康；教育文化；其他”。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政策标签</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ZCBQ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003028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6"/>
                <w:rFonts w:hint="default"/>
                <w:sz w:val="21"/>
                <w:szCs w:val="21"/>
              </w:rPr>
              <w:t>填写</w:t>
            </w:r>
            <w:r>
              <w:rPr>
                <w:rStyle w:val="55"/>
                <w:rFonts w:ascii="宋体" w:hAnsi="宋体" w:eastAsia="宋体"/>
                <w:sz w:val="21"/>
                <w:szCs w:val="21"/>
              </w:rPr>
              <w:t>基金</w:t>
            </w:r>
            <w:r>
              <w:rPr>
                <w:rStyle w:val="56"/>
                <w:rFonts w:hint="default"/>
                <w:sz w:val="21"/>
                <w:szCs w:val="21"/>
              </w:rPr>
              <w:t>政策标签。参照《业务代码表》中的“政策标签代码”，填报代码。可多选，如存在多个标签，以“;”隔开。如为其他，需在备注里描述。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投资阶段</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TZJD</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6"/>
                <w:rFonts w:hint="default"/>
                <w:sz w:val="21"/>
                <w:szCs w:val="21"/>
              </w:rPr>
              <w:t>填写</w:t>
            </w:r>
            <w:r>
              <w:rPr>
                <w:rStyle w:val="55"/>
                <w:rFonts w:ascii="宋体" w:hAnsi="宋体" w:eastAsia="宋体"/>
                <w:sz w:val="21"/>
                <w:szCs w:val="21"/>
              </w:rPr>
              <w:t>基金</w:t>
            </w:r>
            <w:r>
              <w:rPr>
                <w:rStyle w:val="56"/>
                <w:rFonts w:hint="default"/>
                <w:sz w:val="21"/>
                <w:szCs w:val="21"/>
              </w:rPr>
              <w:t>投资阶段。枚举值为“天使投资；初创期投资；成长期投资；IPO前投资；并购投资；多个阶段投资；全阶段投资”。</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基金状态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JJZT</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6"/>
                <w:rFonts w:hint="default"/>
                <w:sz w:val="21"/>
                <w:szCs w:val="21"/>
              </w:rPr>
              <w:t>填写</w:t>
            </w:r>
            <w:r>
              <w:rPr>
                <w:rStyle w:val="55"/>
                <w:rFonts w:ascii="宋体" w:hAnsi="宋体" w:eastAsia="宋体"/>
                <w:sz w:val="21"/>
                <w:szCs w:val="21"/>
              </w:rPr>
              <w:t>基金</w:t>
            </w:r>
            <w:r>
              <w:rPr>
                <w:rStyle w:val="56"/>
                <w:rFonts w:hint="default"/>
                <w:sz w:val="21"/>
                <w:szCs w:val="21"/>
              </w:rPr>
              <w:t>状态。枚举值为“投资期；退出期；清算期；已清盘；其他”。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是否延期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SFYQ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6"/>
                <w:rFonts w:hint="default"/>
                <w:sz w:val="21"/>
                <w:szCs w:val="21"/>
              </w:rPr>
              <w:t>填写</w:t>
            </w:r>
            <w:r>
              <w:rPr>
                <w:rStyle w:val="55"/>
                <w:rFonts w:ascii="宋体" w:hAnsi="宋体" w:eastAsia="宋体"/>
                <w:sz w:val="21"/>
                <w:szCs w:val="21"/>
              </w:rPr>
              <w:t>基金</w:t>
            </w:r>
            <w:r>
              <w:rPr>
                <w:rStyle w:val="56"/>
                <w:rFonts w:hint="default"/>
                <w:sz w:val="21"/>
                <w:szCs w:val="21"/>
              </w:rPr>
              <w:t>是否延期。参照《业务代码表》中的“是否判断代码”，填报代码。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延期原因</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YQYY</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003039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6"/>
                <w:rFonts w:hint="default"/>
                <w:sz w:val="21"/>
                <w:szCs w:val="21"/>
              </w:rPr>
              <w:t>填写</w:t>
            </w:r>
            <w:r>
              <w:rPr>
                <w:rStyle w:val="55"/>
                <w:rFonts w:ascii="宋体" w:hAnsi="宋体" w:eastAsia="宋体"/>
                <w:sz w:val="21"/>
                <w:szCs w:val="21"/>
              </w:rPr>
              <w:t>基金</w:t>
            </w:r>
            <w:r>
              <w:rPr>
                <w:rStyle w:val="56"/>
                <w:rFonts w:hint="default"/>
                <w:sz w:val="21"/>
                <w:szCs w:val="21"/>
              </w:rPr>
              <w:t>延期原因。如有延期计划或已发生延期，需注明原因。</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总资产</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5"/>
                <w:rFonts w:ascii="宋体" w:hAnsi="宋体" w:eastAsia="宋体"/>
                <w:sz w:val="21"/>
                <w:szCs w:val="21"/>
              </w:rPr>
              <w:t>填写基金总资产。</w:t>
            </w:r>
            <w:r>
              <w:rPr>
                <w:rStyle w:val="56"/>
                <w:rFonts w:hint="default"/>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净资产</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JZC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5"/>
                <w:rFonts w:ascii="宋体" w:hAnsi="宋体" w:eastAsia="宋体"/>
                <w:sz w:val="21"/>
                <w:szCs w:val="21"/>
              </w:rPr>
              <w:t>填写基金净资产。</w:t>
            </w:r>
            <w:r>
              <w:rPr>
                <w:rStyle w:val="56"/>
                <w:rFonts w:hint="default"/>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累计营业收入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LJYYSR</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5"/>
                <w:rFonts w:ascii="宋体" w:hAnsi="宋体" w:eastAsia="宋体"/>
                <w:sz w:val="21"/>
                <w:szCs w:val="21"/>
              </w:rPr>
              <w:t>填写基金累计营业收入。</w:t>
            </w:r>
            <w:r>
              <w:rPr>
                <w:rStyle w:val="56"/>
                <w:rFonts w:hint="default"/>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累计净利润</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LJJLR</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Style w:val="55"/>
                <w:rFonts w:ascii="宋体" w:hAnsi="宋体" w:eastAsia="宋体"/>
                <w:sz w:val="21"/>
                <w:szCs w:val="21"/>
              </w:rPr>
              <w:t>填写基金累计净利润。</w:t>
            </w:r>
            <w:r>
              <w:rPr>
                <w:rStyle w:val="56"/>
                <w:rFonts w:hint="default"/>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初始投资日期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CSTZRQ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初始投资日期。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初始份额占比</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CSFEZB</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投资时点基金认购份额比例，填数字，不填百分比，最少保留两位小数，比如12.34%填写为12.34。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投资币种</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TZBZ</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认缴金额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RJJE</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实缴金额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SJJE</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投资账面余额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TZZMYE</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累计最新份额占比</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LJZXFEZB</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数据填报口径为截至报送日上月月末数据，填数字，不填百分比，最少保留两位小数，比如12.34%填写为12.34。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合计份额占比</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HJFEZB</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存在保险集团（控股）公司及其保险子公司、保险公司及其投资控股的保险机构投资同一基金的情形时，填写合计持股比例，填数字，不填百分比，最少保留两位小数，比如12.34%填写为12.34。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已实现投资收益</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YSXTZSY</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数据填报口径为截至报送日上月月末数据，单位：元。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本年收益率</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BNSYL</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当年以来的收益率，需年化。填数字，不填百分比，最少保留四位小数，比如12.34%填写为0.1234。默认值99999。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累计收益率</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LJSYL</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投资以来的累计收益率，填数字，不填百分比，最少保留四位小数，比如12.34%填写为0.1234。默认值99999。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是否退出</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SFTC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填写退出日期。“是否退出”为“是”时必填。</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退出方式</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TCFS</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003043</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填写退出方式。“是否退出”为“是”时必填。枚举值为“份额转让，基金清算，赎回，其他”。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备注</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BZ</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填写其他需要报送的但是目前无法标准化的信息，如有保底、保收益、结构化安排、抽屉协议、明股实债、集团内担保、替其他出资人垫资、承诺回购原出资人份额等情况需注明。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23"/>
        </w:numPr>
        <w:ind w:firstLineChars="0"/>
        <w:outlineLvl w:val="3"/>
        <w:rPr>
          <w:rFonts w:ascii="仿宋" w:hAnsi="仿宋" w:eastAsia="仿宋"/>
          <w:b/>
        </w:rPr>
      </w:pPr>
      <w:r>
        <w:rPr>
          <w:rFonts w:hint="eastAsia" w:ascii="仿宋" w:hAnsi="仿宋" w:eastAsia="仿宋"/>
          <w:b/>
        </w:rPr>
        <w:t>直接投资不动产信息表</w:t>
      </w:r>
    </w:p>
    <w:tbl>
      <w:tblPr>
        <w:tblStyle w:val="25"/>
        <w:tblW w:w="8824" w:type="dxa"/>
        <w:tblInd w:w="0" w:type="dxa"/>
        <w:tblLayout w:type="fixed"/>
        <w:tblCellMar>
          <w:top w:w="0" w:type="dxa"/>
          <w:left w:w="108" w:type="dxa"/>
          <w:bottom w:w="0" w:type="dxa"/>
          <w:right w:w="108" w:type="dxa"/>
        </w:tblCellMar>
      </w:tblPr>
      <w:tblGrid>
        <w:gridCol w:w="1476"/>
        <w:gridCol w:w="1371"/>
        <w:gridCol w:w="969"/>
        <w:gridCol w:w="3545"/>
        <w:gridCol w:w="709"/>
        <w:gridCol w:w="754"/>
      </w:tblGrid>
      <w:tr>
        <w:tblPrEx>
          <w:tblCellMar>
            <w:top w:w="0" w:type="dxa"/>
            <w:left w:w="108" w:type="dxa"/>
            <w:bottom w:w="0" w:type="dxa"/>
            <w:right w:w="108" w:type="dxa"/>
          </w:tblCellMar>
        </w:tblPrEx>
        <w:trPr>
          <w:trHeight w:val="290" w:hRule="atLeast"/>
        </w:trPr>
        <w:tc>
          <w:tcPr>
            <w:tcW w:w="147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7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96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00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ZJTZBDCXXB</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直接投资不动产信息表</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112</w:t>
            </w:r>
          </w:p>
        </w:tc>
        <w:tc>
          <w:tcPr>
            <w:tcW w:w="500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本表报送保险集团（控股）公司直接投资不动产相关信息。</w:t>
            </w:r>
          </w:p>
        </w:tc>
      </w:tr>
      <w:tr>
        <w:tblPrEx>
          <w:tblCellMar>
            <w:top w:w="0" w:type="dxa"/>
            <w:left w:w="108" w:type="dxa"/>
            <w:bottom w:w="0" w:type="dxa"/>
            <w:right w:w="108" w:type="dxa"/>
          </w:tblCellMar>
        </w:tblPrEx>
        <w:trPr>
          <w:trHeight w:val="7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TZZHMC</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002021</w:t>
            </w:r>
          </w:p>
        </w:tc>
        <w:tc>
          <w:tcPr>
            <w:tcW w:w="354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机构投资账户名称，应具有唯一标识。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3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投资账户代码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TZZHDM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002020</w:t>
            </w:r>
          </w:p>
        </w:tc>
        <w:tc>
          <w:tcPr>
            <w:tcW w:w="3545"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机构投资账户代码，应具有唯一标识。</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资产名称</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ZCMC</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填写项目名称全称。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资产代码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ZCDM</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机构自定义代码。如在持仓表中有该资产，需与持仓表中的“资产代码”一致。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所在地国家</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SZDGJ</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参照《业务代码表》中的“国家地区”，填报代码。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所属地区</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SSDQ</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001017</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参照《业务代码表》中的“行政区划代码”，填报代码。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初始投资日期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CSTZRQ</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初始投资日期。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TZLX</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枚举值为“自用性；投资性”。</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项目状态</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XMZT</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003073</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枚举值为“已建成；在建工程；土地”。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投资原值</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TZYZ</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按实际投资金额填写。单位：元。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原值币种</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YZBZ</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002001</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参照《业务代码表》中的“币种代码”，填报代码。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账面余额</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ZMYE</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换算成本币账面余额，单位：元。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项目涉及股+债标识</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XMSJGZBS</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填写是否涉及到股权+债权的运作模式。参照《业务代码表》中的“是否判断代码”，填报代码。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不动产类型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BDCLX</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003074</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根据土地用途分类，具体填报标准参照物业土地证“用途”栏内容（标识库）。</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物业类型</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WYLX</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003075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枚举值为“养老不动产；医疗；汽车服务不动产；城市商住综合体；城市商业；其他”，其中，城市商业包括写字楼、商业公寓、商铺、会议会展中心、物流仓库等。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住宅配比</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ZZPB</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住宅所占配比，填数字，不填百分比，最少保留两位小数，比如12.34%填写为12.34。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土地证生效日期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TDZSXRQ</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投资性不动产剩余土地使用年限不能低于15年（对应土地证信息）。默认值99991231。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不动产证生效日期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BDCZSXRQ</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不动产证生效时点。默认值99991231。</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总建筑面积</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ZJZMJ</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003057</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总建筑面积，“项目状态”为“已建成”时必填。单位：平方米。</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总占地面积</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ZZDMJ</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003057</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总占地面积，单位：平方米。</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容积率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RJL</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001049</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容积率。填数字，不填百分比，最少保留两位小数，比如12.34%填写为12.34。默认值9999。</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是否处置</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SFCZ</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001010</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处置日期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CZRQ</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“是否处置”为“是”时必填。填写处置日期。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处置价值</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CZJZ</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“是否处置”为“是”时必填。填写处置价值，单位：元。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收益率</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SYL</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001012</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“是否处置”为“是”时必填。填写产品处置时的收益率，填数字，不填百分比，最少保留四位小数，比如12.34%填写为0.1234。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37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96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54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pStyle w:val="4"/>
        <w:numPr>
          <w:ilvl w:val="0"/>
          <w:numId w:val="14"/>
        </w:numPr>
        <w:tabs>
          <w:tab w:val="left" w:pos="709"/>
          <w:tab w:val="left" w:pos="993"/>
        </w:tabs>
        <w:rPr>
          <w:rFonts w:ascii="仿宋" w:hAnsi="仿宋" w:eastAsia="仿宋"/>
        </w:rPr>
      </w:pPr>
      <w:r>
        <w:rPr>
          <w:rFonts w:hint="eastAsia" w:ascii="仿宋" w:hAnsi="仿宋" w:eastAsia="仿宋"/>
        </w:rPr>
        <w:t>委托投资</w:t>
      </w:r>
    </w:p>
    <w:p>
      <w:pPr>
        <w:keepNext/>
        <w:keepLines/>
        <w:numPr>
          <w:ilvl w:val="1"/>
          <w:numId w:val="7"/>
        </w:numPr>
        <w:ind w:firstLineChars="0"/>
        <w:outlineLvl w:val="3"/>
        <w:rPr>
          <w:rFonts w:ascii="仿宋" w:hAnsi="仿宋" w:eastAsia="仿宋"/>
          <w:b/>
        </w:rPr>
      </w:pPr>
      <w:r>
        <w:rPr>
          <w:rFonts w:hint="eastAsia" w:ascii="仿宋" w:hAnsi="仿宋" w:eastAsia="仿宋"/>
          <w:b/>
        </w:rPr>
        <w:t>委托投资信息表</w:t>
      </w:r>
    </w:p>
    <w:tbl>
      <w:tblPr>
        <w:tblStyle w:val="25"/>
        <w:tblW w:w="8824" w:type="dxa"/>
        <w:tblInd w:w="0" w:type="dxa"/>
        <w:tblLayout w:type="fixed"/>
        <w:tblCellMar>
          <w:top w:w="0" w:type="dxa"/>
          <w:left w:w="108" w:type="dxa"/>
          <w:bottom w:w="0" w:type="dxa"/>
          <w:right w:w="108" w:type="dxa"/>
        </w:tblCellMar>
      </w:tblPr>
      <w:tblGrid>
        <w:gridCol w:w="1550"/>
        <w:gridCol w:w="1701"/>
        <w:gridCol w:w="849"/>
        <w:gridCol w:w="3261"/>
        <w:gridCol w:w="708"/>
        <w:gridCol w:w="755"/>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70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4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72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WTTZXXB</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委托投资信息表</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1</w:t>
            </w:r>
          </w:p>
        </w:tc>
        <w:tc>
          <w:tcPr>
            <w:tcW w:w="472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本表报送保险集团（控股）公司委托投资业务情况。</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保险集团（控股）公司保险许可证号码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JT_BXXKZHM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001042</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中国银保监会统一设计和印制，授权给保险机构经营保险业务的许可证上记录的机构编码。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保险集团（控股）公司统一社会信用代码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JT_TYSHXYDM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001003</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保险集团（控股）公司的统一社会信用代码。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JT_MC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001002</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保险集团（控股）公司的保险许可证中的机构名称。</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流水号</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LSH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统一社会信用代码+日期（YYYYMMDD）+10位流水，流水号是每天的流水号，每天都是从‘0000000001’开始。其中日期为上报数据时当前的系统日期。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委托编号</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WTBH</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001023</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委托投资管理合同号码。如有公司内部合同编号则填报公司内部合同编号。。</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受托人法定名称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GL_STRFDMC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001015</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受托人法定名称。</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受托人证件类型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GL_STRZJLX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001019</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受托人证件类型，参照《业务代码表》中的“证件类型代码”，填报代码。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受托人证件号码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GL_STRZJHM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受托人统一社会信用代码。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受托人证件到期日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GL_STRZJDQR</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001005</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受托人证件到期日。</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受托人LEI编码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STRLEIBM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001004</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受托人全球法人识别编码。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受托人单位地址</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STRDWDZ</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001009</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受托人办公地址。</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受托人法定代表人法定名称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GL_STRFDDBRFDMC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001011</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受托人法定代表人姓名，应与工商注册的姓名一致。</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受托人法定代表人证件类型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GL_STRFDDBRZJLX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001019</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受托人法定代表人证件类型。参照《业务代码表》中的“证件类型代码”，填报代码。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受托人法定代表人证件号码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GL_STRFDDBRZJHM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受托人法定代表人证件号码。隐私，保险集团（控股）公司变形。</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受托人法定代表人证件到期日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GL_STRFDDBRZJDQR</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001005</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受托人法定代表人证件到期日。</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受托人首席风险官法定名称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GL_STRSXFXGFDMC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001011</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受托人首席风险管理执行官姓名。隐私，保险集团（控股）公司变形。</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受托人首席风险官证件类型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GL_STRSXFXGZJLX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001019</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受托人首席风险官证件类型。参照《业务代码表》中的“证件类型代码”，填报代码。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受托人首席风险官证件号码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GL_STRSXFXGZJHM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受托人首席风险官证件号码。隐私，保险集团（控股）公司变形。</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受托人首席风险官证件到期日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GL_STRSXFXGZJDQR</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001005</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受托人首席风险官证件到期日。</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受托人首席风险官联系方式</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STRSXFXGLXFS</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001032</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受托人首席风险官座机或手机号。隐私，暂不取。保险集团（控股）公司需在本地保留原文数据，并报送“隐私”。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签订日期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QDRQ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001005</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委托投资合同签订日期。格式：YYYYMMDD</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委托投资管理合同期限</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WTTZGLHTQX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003020</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单位：年。如无期限报送"9999”。</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委托投资管理费率</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WTTZGLFL</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003007</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委托投资管理费用收取标准。如有公式请列出并加以说明。</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托管账户开户行法定名称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GL_TGZHKHHFDMC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001002</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托管账户开户行名称。如是场内交易，填报本机构关联交易所名称。</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托管账户开户行证件类型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GL_TGZHKHHZJLX</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001019</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托管账户开户行证件类型，参照《业务代码表》中的“证件类型代码”，填报代码。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托管账户开户行证件号码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GL_TGZHKHHZJHM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001018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托管账户开户行证件号码。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托管账户开户行证件到期日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GL_TGZHKHHZJDQR</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001005</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托管账户开户行证件到期日。</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否</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托管账户名称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TGZHMC</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002019</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托管人开立的、专门用于委托投资的专用存款账户名称。</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托管账户号码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TGZHHM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托管人开立的、专门用于委托投资的专用存款账户号码。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统计日期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TJRQ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001005</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统计日期。格式：YYYYMMDD。</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货币代码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HBDM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002001</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参照《业务代码表》中的“币种代码”，填报代码。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委托投资管理总规模</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WTTZGLZGM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本委托投资管理合同委托投资资产总规模，使用全价口径。</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净资产总值</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JZCZZ</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委托投资净资产总值，资产净值使用全价口径，若投资资产都为非标产品，则为账面余额（含息）；若为标准产品，则为产品全价市值。</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权益类资产规模</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QYLZCGM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权益类资产的划分标准依据保监发[2014]13号文（中国保监会关于加强和改进保险资金运用比例监管的通知），详细资产内容请根据文中定义，无此类型资产可为空。使用全价口径。单位：元。</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固定收益类资产规模</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GDSYLZCGM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固定收益类资产的划分标准依据保监发[2014]13号文（中国保监会关于加强和改进保险资金运用比例监管的通知），详细资产内容请根据文中定义，无此类型资产可为空。使用全价口径。单位：元。</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流动性资产规模</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LDXZCGM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流动性资产的划分标准依据保监发[2014]13号文（中国保监会关于加强和改进保险资金运用比例监管的通知），详细资产内容请根据文中定义，无此类型资产可为空。使用全价口径。单位：元。</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不动产类资产规模</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BDCLZCGM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不动产类资产的划分标准依据保监发[2014]13号文（中国保监会关于加强和改进保险资金运用比例监管的通知），详细资产内容请根据文中定义，无此类型资产可为空。使用全价口径。单位：元。单位：元。</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其他金融资产规模</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QTJRZCGM</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其他金融资产的划分标准依据保监发[2014]13号文（中国保监会关于加强和改进保险资金运用比例监管的通知），详细资产内容请根据文中定义，无此类型资产可为空。使用全价口径。单位：元。</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采集日期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CJRQ</w:t>
            </w:r>
          </w:p>
        </w:tc>
        <w:tc>
          <w:tcPr>
            <w:tcW w:w="8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26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　</w:t>
            </w:r>
          </w:p>
        </w:tc>
      </w:tr>
    </w:tbl>
    <w:p>
      <w:pPr>
        <w:ind w:firstLine="0" w:firstLineChars="0"/>
      </w:pPr>
    </w:p>
    <w:p>
      <w:pPr>
        <w:keepNext/>
        <w:keepLines/>
        <w:numPr>
          <w:ilvl w:val="1"/>
          <w:numId w:val="24"/>
        </w:numPr>
        <w:ind w:firstLineChars="0"/>
        <w:outlineLvl w:val="3"/>
        <w:rPr>
          <w:rFonts w:ascii="仿宋" w:hAnsi="仿宋" w:eastAsia="仿宋"/>
          <w:b/>
        </w:rPr>
      </w:pPr>
      <w:r>
        <w:rPr>
          <w:rFonts w:hint="eastAsia" w:ascii="仿宋" w:hAnsi="仿宋" w:eastAsia="仿宋"/>
          <w:b/>
        </w:rPr>
        <w:t>委托投资资产负债统计表</w:t>
      </w:r>
    </w:p>
    <w:tbl>
      <w:tblPr>
        <w:tblStyle w:val="25"/>
        <w:tblW w:w="8824" w:type="dxa"/>
        <w:tblInd w:w="0" w:type="dxa"/>
        <w:tblLayout w:type="fixed"/>
        <w:tblCellMar>
          <w:top w:w="0" w:type="dxa"/>
          <w:left w:w="108" w:type="dxa"/>
          <w:bottom w:w="0" w:type="dxa"/>
          <w:right w:w="108" w:type="dxa"/>
        </w:tblCellMar>
      </w:tblPr>
      <w:tblGrid>
        <w:gridCol w:w="1581"/>
        <w:gridCol w:w="1528"/>
        <w:gridCol w:w="851"/>
        <w:gridCol w:w="3403"/>
        <w:gridCol w:w="709"/>
        <w:gridCol w:w="752"/>
      </w:tblGrid>
      <w:tr>
        <w:tblPrEx>
          <w:tblCellMar>
            <w:top w:w="0" w:type="dxa"/>
            <w:left w:w="108" w:type="dxa"/>
            <w:bottom w:w="0" w:type="dxa"/>
            <w:right w:w="108" w:type="dxa"/>
          </w:tblCellMar>
        </w:tblPrEx>
        <w:trPr>
          <w:trHeight w:val="290" w:hRule="atLeast"/>
        </w:trPr>
        <w:tc>
          <w:tcPr>
            <w:tcW w:w="158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528"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WTTZZCFZTJB</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委托投资资产负债统计表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2</w:t>
            </w:r>
          </w:p>
        </w:tc>
        <w:tc>
          <w:tcPr>
            <w:tcW w:w="486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本表报送保险集团（控股）公司委托投资资产负债统计信息。</w:t>
            </w:r>
          </w:p>
        </w:tc>
      </w:tr>
      <w:tr>
        <w:tblPrEx>
          <w:tblCellMar>
            <w:top w:w="0" w:type="dxa"/>
            <w:left w:w="108" w:type="dxa"/>
            <w:bottom w:w="0" w:type="dxa"/>
            <w:right w:w="108" w:type="dxa"/>
          </w:tblCellMar>
        </w:tblPrEx>
        <w:trPr>
          <w:trHeight w:val="7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委托编号</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WTBH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委托投资管理合同号码。如有公司内部合同编号则填报公司内部合同编号。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统计科目编号</w:t>
            </w:r>
          </w:p>
        </w:tc>
        <w:tc>
          <w:tcPr>
            <w:tcW w:w="1528" w:type="dxa"/>
            <w:tcBorders>
              <w:top w:val="nil"/>
              <w:left w:val="nil"/>
              <w:bottom w:val="single" w:color="auto" w:sz="8" w:space="0"/>
              <w:right w:val="single" w:color="auto" w:sz="8" w:space="0"/>
            </w:tcBorders>
            <w:shd w:val="clear" w:color="auto" w:fill="auto"/>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TJKMBH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003003</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参照《业务代码表》中的“资产负债统计科目代码”，填报代码。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期末余额</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QMYE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若金额涉及到外币，由机构自行转换成人民币进行填报。单位：元。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归属期间。格式：YYYYMM，年度审计报告出具后报送审计调整后数据。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8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52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40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keepNext/>
        <w:keepLines/>
        <w:numPr>
          <w:ilvl w:val="1"/>
          <w:numId w:val="25"/>
        </w:numPr>
        <w:ind w:firstLineChars="0"/>
        <w:outlineLvl w:val="3"/>
        <w:rPr>
          <w:rFonts w:ascii="仿宋" w:hAnsi="仿宋" w:eastAsia="仿宋"/>
          <w:b/>
        </w:rPr>
      </w:pPr>
      <w:r>
        <w:rPr>
          <w:rFonts w:hint="eastAsia" w:ascii="仿宋" w:hAnsi="仿宋" w:eastAsia="仿宋"/>
          <w:b/>
        </w:rPr>
        <w:t>委托投资持仓表</w:t>
      </w:r>
    </w:p>
    <w:tbl>
      <w:tblPr>
        <w:tblStyle w:val="25"/>
        <w:tblW w:w="8824" w:type="dxa"/>
        <w:tblInd w:w="0" w:type="dxa"/>
        <w:tblLayout w:type="fixed"/>
        <w:tblCellMar>
          <w:top w:w="0" w:type="dxa"/>
          <w:left w:w="108" w:type="dxa"/>
          <w:bottom w:w="0" w:type="dxa"/>
          <w:right w:w="108" w:type="dxa"/>
        </w:tblCellMar>
      </w:tblPr>
      <w:tblGrid>
        <w:gridCol w:w="1550"/>
        <w:gridCol w:w="1692"/>
        <w:gridCol w:w="859"/>
        <w:gridCol w:w="3260"/>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69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WTTZCCB</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委托投资持仓表</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C0</w:t>
            </w: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0</w:t>
            </w:r>
            <w:r>
              <w:rPr>
                <w:rFonts w:ascii="宋体" w:hAnsi="宋体" w:eastAsia="宋体" w:cs="宋体"/>
                <w:color w:val="000000"/>
                <w:kern w:val="0"/>
                <w:sz w:val="21"/>
                <w:szCs w:val="21"/>
              </w:rPr>
              <w:t>3</w:t>
            </w:r>
          </w:p>
        </w:tc>
        <w:tc>
          <w:tcPr>
            <w:tcW w:w="4723"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本表报送保险集团（控股）公司本年委托投资持仓信息。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保险集团（控股）公司保险许可证号码</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JT_BXXKZHM</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001042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保险集团（控股）公司统一社会信用代码</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JT_TYSHXYDM</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保险集团（控股）公司名称</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JT_MC</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流水号</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LSH</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委托编号</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WTBH</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001023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委托投资管理合同号码。如有公司内部合同编号则填报公司内部合同编号。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资产名称</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ZCMC</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填写确权登记等有关机构登记的资产名称，若无填写合同上的资产名称。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资产代码</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ZCDM</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填写确权登记等有关机构登记的资产代码，若无填写机构自定义代码。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资产类型</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ZCLX</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w:t>
            </w:r>
            <w:r>
              <w:rPr>
                <w:rFonts w:ascii="宋体" w:hAnsi="宋体" w:eastAsia="宋体" w:cs="宋体"/>
                <w:color w:val="000000"/>
                <w:kern w:val="0"/>
                <w:sz w:val="21"/>
                <w:szCs w:val="21"/>
              </w:rPr>
              <w:t>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参照《业务代码表》中的“资产负债统计科目代码”，填报代码。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资产到期日</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ZCDQR</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资产到期日期，如无明确到期日，填写默认值99991231。格式：YYYYMMDD。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估值方法</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GZFF</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003011</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参照《业务代码表》中的“估值方法代码”，填报代码。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会计核算方法</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KJHSFF</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002003</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适用会计准则。参照《业务代码表》中的“会计核算方法代码”，填报代码。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会计分类</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KJFL</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003006</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参照《业务代码表》中的“会计分类代码”，填报代码。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成本</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CB</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初始购置成本、历史（净价）成本或摊余（净价）成本。适用金融工具确认和计量（</w:t>
            </w:r>
            <w:r>
              <w:rPr>
                <w:rFonts w:ascii="宋体" w:hAnsi="宋体" w:eastAsia="宋体" w:cs="宋体"/>
                <w:color w:val="000000"/>
                <w:kern w:val="0"/>
                <w:sz w:val="21"/>
                <w:szCs w:val="21"/>
              </w:rPr>
              <w:t>2017</w:t>
            </w:r>
            <w:r>
              <w:rPr>
                <w:rFonts w:hint="eastAsia" w:ascii="宋体" w:hAnsi="宋体" w:eastAsia="宋体" w:cs="宋体"/>
                <w:color w:val="000000"/>
                <w:kern w:val="0"/>
                <w:sz w:val="21"/>
                <w:szCs w:val="21"/>
              </w:rPr>
              <w:t>）的金融资产初始成本按公允价值计量。单位：元。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账面余额</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ZMYE</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指没有扣除减值准备的账面余额。单位：元。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减值准备</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JZZB</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002022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按持有该资产对应的“减值准备”科目余额填列。单位：元。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账面价值</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ZMJZ</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指扣除减值准备后的账面余额，等于该资产账面余额与减值准备之差。单位：元。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公允价值</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GYJZ</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指市场参与者在计量日发生的有序交易中，出售一项资产所能收到或者转移一项负债所需支付的价格。单位：元。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公允价值变动</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GYJZBD</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指持有该资产对应的“公允价值变动”当年累计发生额。单位：元。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公允价值变动损益</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GYJZBDSY</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指持有该资产对应的“公允价值变动损益”当年累计发生额。单位：元。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已实现收益</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YSXSY</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金融工具确认和计量（2006）包括各项投资产生的利息收入、价差收入、股利红利收入和相关交易费用等当年累计发生额，不包括减值准备。单位：元。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其他收益</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QTSY</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填写除“投资收益”、“利息收入”、“公允价值变动损益”之外的资金运用收益当年累计发生额，包括投资性房地产出租净收益（租金减去成本）、长期股权投资“营业外收入”等。单位：元。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10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资产减值损失</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ZCJZSS</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金融工具确认和计量（2006）指持有该资产对应的“资产减值损失”当年累计发生额。单位：元。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信用减值损失</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XYJZSS</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金融工具确认和计量（2017）：金融工具信用损失当年累计发生额。单位：元。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其他资产减值损失</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QTZCJZSS</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金融工具确认和计量（2017）：除“信用减值损失”外，其他资产减值损失当年累计发生额。单位：元。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利息收入</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LXSR</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003012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以摊余成本计量的金融资产和分类为以公允价值计量且其变动计入其他综合收益的金融资产按照实际利率法计算的利息收入当年累计发生额。其他项目的利息收入不得计入本项目。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投资收益</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TZSY</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金融工具确认和计量（2017）：对外投资收益或损失当年累计发生额。单位：元。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以公允价值计量且其变动计入其他综合收益</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YGYJZJLQQBDJRQTZHSY</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001008</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金融工具确认和计量（2017）：以公允价值计量且其变动计入其他综合收益的金融资产当年累计发生额。单位：元。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五级分类</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WJFL</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003010</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参照《业务代码表》中的“五级分类代码”，填报代码。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会计期间</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KJQJ</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002002</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归属期间。格式：YYYYMM，年度审计报告出具后报送审计调整后数据。</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报送周期</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BSZQ</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002016</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参照《业务代码表》中的“报送周期类型代码”，填报代码。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是</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采集日期</w:t>
            </w:r>
          </w:p>
        </w:tc>
        <w:tc>
          <w:tcPr>
            <w:tcW w:w="169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CJRQ</w:t>
            </w:r>
          </w:p>
        </w:tc>
        <w:tc>
          <w:tcPr>
            <w:tcW w:w="85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001005</w:t>
            </w:r>
          </w:p>
        </w:tc>
        <w:tc>
          <w:tcPr>
            <w:tcW w:w="326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　</w:t>
            </w:r>
          </w:p>
        </w:tc>
      </w:tr>
    </w:tbl>
    <w:p>
      <w:pPr>
        <w:ind w:firstLine="0" w:firstLineChars="0"/>
      </w:pPr>
    </w:p>
    <w:p>
      <w:pPr>
        <w:pStyle w:val="3"/>
        <w:numPr>
          <w:ilvl w:val="0"/>
          <w:numId w:val="6"/>
        </w:numPr>
        <w:ind w:left="0"/>
        <w:rPr>
          <w:szCs w:val="30"/>
        </w:rPr>
      </w:pPr>
      <w:bookmarkStart w:id="212" w:name="_Toc98147818"/>
      <w:bookmarkStart w:id="213" w:name="_Toc16693"/>
      <w:bookmarkStart w:id="214" w:name="_Toc28251"/>
      <w:bookmarkStart w:id="215" w:name="_Toc23306"/>
      <w:bookmarkStart w:id="216" w:name="_Toc17366"/>
      <w:bookmarkStart w:id="217" w:name="_Toc73958615"/>
      <w:bookmarkStart w:id="218" w:name="_Toc6673"/>
      <w:bookmarkStart w:id="219" w:name="_Toc3368"/>
      <w:bookmarkStart w:id="220" w:name="_Toc2479"/>
      <w:bookmarkStart w:id="221" w:name="_Toc16356"/>
      <w:bookmarkStart w:id="222" w:name="_Toc25696"/>
      <w:bookmarkStart w:id="223" w:name="_Toc3950"/>
      <w:r>
        <w:rPr>
          <w:rFonts w:hint="eastAsia"/>
          <w:szCs w:val="30"/>
        </w:rPr>
        <w:t>保险集团（控股）公司关联交易</w:t>
      </w:r>
      <w:bookmarkEnd w:id="212"/>
      <w:bookmarkEnd w:id="213"/>
      <w:bookmarkEnd w:id="214"/>
      <w:bookmarkEnd w:id="215"/>
      <w:bookmarkEnd w:id="216"/>
      <w:bookmarkEnd w:id="217"/>
      <w:bookmarkEnd w:id="218"/>
      <w:bookmarkEnd w:id="219"/>
      <w:bookmarkEnd w:id="220"/>
      <w:bookmarkEnd w:id="221"/>
      <w:bookmarkEnd w:id="222"/>
      <w:bookmarkEnd w:id="223"/>
    </w:p>
    <w:p>
      <w:pPr>
        <w:pStyle w:val="4"/>
        <w:numPr>
          <w:ilvl w:val="0"/>
          <w:numId w:val="26"/>
        </w:numPr>
        <w:tabs>
          <w:tab w:val="left" w:pos="709"/>
          <w:tab w:val="left" w:pos="993"/>
        </w:tabs>
        <w:rPr>
          <w:rFonts w:ascii="仿宋" w:hAnsi="仿宋" w:eastAsia="仿宋"/>
        </w:rPr>
      </w:pPr>
      <w:bookmarkStart w:id="224" w:name="_Toc32423"/>
      <w:bookmarkStart w:id="225" w:name="_Toc18129"/>
      <w:bookmarkStart w:id="226" w:name="_Toc27889"/>
      <w:bookmarkStart w:id="227" w:name="_Toc16026"/>
      <w:bookmarkStart w:id="228" w:name="_Toc5889"/>
      <w:bookmarkStart w:id="229" w:name="_Toc15466"/>
      <w:bookmarkStart w:id="230" w:name="_Toc73958616"/>
      <w:r>
        <w:rPr>
          <w:rFonts w:hint="eastAsia" w:ascii="仿宋" w:hAnsi="仿宋" w:eastAsia="仿宋"/>
        </w:rPr>
        <w:t>关联方档案</w:t>
      </w:r>
      <w:bookmarkEnd w:id="224"/>
      <w:bookmarkEnd w:id="225"/>
      <w:bookmarkEnd w:id="226"/>
      <w:bookmarkEnd w:id="227"/>
      <w:bookmarkEnd w:id="228"/>
      <w:bookmarkEnd w:id="229"/>
      <w:bookmarkEnd w:id="230"/>
    </w:p>
    <w:p>
      <w:pPr>
        <w:keepNext/>
        <w:keepLines/>
        <w:numPr>
          <w:ilvl w:val="1"/>
          <w:numId w:val="7"/>
        </w:numPr>
        <w:ind w:firstLineChars="0"/>
        <w:outlineLvl w:val="3"/>
        <w:rPr>
          <w:rFonts w:ascii="仿宋" w:hAnsi="仿宋" w:eastAsia="仿宋"/>
          <w:b/>
        </w:rPr>
      </w:pPr>
      <w:r>
        <w:rPr>
          <w:rFonts w:hint="eastAsia" w:ascii="仿宋" w:hAnsi="仿宋" w:eastAsia="仿宋"/>
          <w:b/>
        </w:rPr>
        <w:t>法人或其他组织关联方信息表</w:t>
      </w:r>
    </w:p>
    <w:tbl>
      <w:tblPr>
        <w:tblStyle w:val="25"/>
        <w:tblW w:w="8824" w:type="dxa"/>
        <w:tblInd w:w="0" w:type="dxa"/>
        <w:tblLayout w:type="fixed"/>
        <w:tblCellMar>
          <w:top w:w="0" w:type="dxa"/>
          <w:left w:w="108" w:type="dxa"/>
          <w:bottom w:w="0" w:type="dxa"/>
          <w:right w:w="108" w:type="dxa"/>
        </w:tblCellMar>
      </w:tblPr>
      <w:tblGrid>
        <w:gridCol w:w="1691"/>
        <w:gridCol w:w="1701"/>
        <w:gridCol w:w="851"/>
        <w:gridCol w:w="3118"/>
        <w:gridCol w:w="709"/>
        <w:gridCol w:w="754"/>
      </w:tblGrid>
      <w:tr>
        <w:tblPrEx>
          <w:tblCellMar>
            <w:top w:w="0" w:type="dxa"/>
            <w:left w:w="108" w:type="dxa"/>
            <w:bottom w:w="0" w:type="dxa"/>
            <w:right w:w="108" w:type="dxa"/>
          </w:tblCellMar>
        </w:tblPrEx>
        <w:trPr>
          <w:trHeight w:val="290" w:hRule="atLeast"/>
        </w:trPr>
        <w:tc>
          <w:tcPr>
            <w:tcW w:w="16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70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58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FRHQTZZGLFXXB</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法人或其他组织关联方信息表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D0101</w:t>
            </w:r>
          </w:p>
        </w:tc>
        <w:tc>
          <w:tcPr>
            <w:tcW w:w="458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本表报送保险集团（控股）公司的法人或其他组织关联方基础信息。在进行关联方认定时，应按照实质重于形式的原则认定。</w:t>
            </w:r>
          </w:p>
        </w:tc>
      </w:tr>
      <w:tr>
        <w:tblPrEx>
          <w:tblCellMar>
            <w:top w:w="0" w:type="dxa"/>
            <w:left w:w="108" w:type="dxa"/>
            <w:bottom w:w="0" w:type="dxa"/>
            <w:right w:w="108" w:type="dxa"/>
          </w:tblCellMar>
        </w:tblPrEx>
        <w:trPr>
          <w:trHeight w:val="7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保险集团（控股）公司保险许可证号码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保险集团（控股）公司统一社会信用代码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7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法人或其他组织关联方法定名称</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GL_FRHQTZZGLFFDMC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法人或其他组织关联方的名称应是经工商管理部门批准正式使用的全称，与关联方公章所使用的名称完全一致。</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法人或其他组织关联方证件类型</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GL_FRHQTZZGLFZJLX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71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法人或其他组织关联方证件号码</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GL_FRHQTZZGLFZJHM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法人填报时必须按照技术监督部门发放的统一社会信用代码填写。统一社会信用代码是根据中华人民共和国国家标准《法人和其他组织统一社会信用代码编码规则》（GB32100-2015），由统一社会信用代码登记主管部门给每个企业、事业客户、机关和社会团体颁发的在全国范围内唯一的、始终不变的法定代码。境外法人机构则填写企业注册码、税务号等有效代码。如果无法获取，可填写填报机构自行编制代码。如填写统一社会信用代码，则进行18位长度校验。自行编制代码为14位，规则为报送机构的9位组织机构代码+1位关联方类型代码+4位顺序号，其中，第10位的关联方类型代码应填写1，代表关联方/关联方中间节点类型为法人或其他组织。</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法人或其他组织关联方证件到期日</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GL_FRHQTZZGLFZJDQR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法人或其他组织关联方证件到期日。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境内外标识</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JNWBS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002017</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参照《业务代码表》中的“境内外标识代码”，填报代码。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70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自然人关联方信息表</w:t>
      </w:r>
    </w:p>
    <w:tbl>
      <w:tblPr>
        <w:tblStyle w:val="25"/>
        <w:tblW w:w="8824" w:type="dxa"/>
        <w:tblInd w:w="0" w:type="dxa"/>
        <w:tblLayout w:type="fixed"/>
        <w:tblCellMar>
          <w:top w:w="0" w:type="dxa"/>
          <w:left w:w="108" w:type="dxa"/>
          <w:bottom w:w="0" w:type="dxa"/>
          <w:right w:w="108" w:type="dxa"/>
        </w:tblCellMar>
      </w:tblPr>
      <w:tblGrid>
        <w:gridCol w:w="1476"/>
        <w:gridCol w:w="1349"/>
        <w:gridCol w:w="851"/>
        <w:gridCol w:w="3685"/>
        <w:gridCol w:w="709"/>
        <w:gridCol w:w="754"/>
      </w:tblGrid>
      <w:tr>
        <w:tblPrEx>
          <w:tblCellMar>
            <w:top w:w="0" w:type="dxa"/>
            <w:left w:w="108" w:type="dxa"/>
            <w:bottom w:w="0" w:type="dxa"/>
            <w:right w:w="108" w:type="dxa"/>
          </w:tblCellMar>
        </w:tblPrEx>
        <w:trPr>
          <w:trHeight w:val="290" w:hRule="atLeast"/>
        </w:trPr>
        <w:tc>
          <w:tcPr>
            <w:tcW w:w="1476"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49"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ZRRGLFXXB</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自然人关联方信息表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D0102</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本表报送保险集团（控股）公司的自然人关联方数据。在进行关联方认定时，应按照实质重于形式的原则认定。</w:t>
            </w:r>
          </w:p>
        </w:tc>
      </w:tr>
      <w:tr>
        <w:tblPrEx>
          <w:tblCellMar>
            <w:top w:w="0" w:type="dxa"/>
            <w:left w:w="108" w:type="dxa"/>
            <w:bottom w:w="0" w:type="dxa"/>
            <w:right w:w="108" w:type="dxa"/>
          </w:tblCellMar>
        </w:tblPrEx>
        <w:trPr>
          <w:trHeight w:val="7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保险集团（控股）公司保险许可证号码</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保险集团（控股）公司统一社会信用代码</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7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保险集团（控股）公司名称</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自然人关联方法定名称</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GL_ZRRGLFFDMC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填写合法身份证件上使用的姓名。隐私，保险集团（控股）公司变形。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自然人关联方证件类型</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GL_ZRRGLFZJLX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自然人关联方证件号码</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GL_ZRRGLFZJHM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境内自然人，则必须填写合法身份证件的号码。境外自然人，需填写护照号，如无法获取，则填写填报机构自行编制号码。隐私，保险集团（控股）公司变形。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自然人关联方证件到期日</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GL_ZRRGLFZJDQR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自然人关联方证件到期日。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境内外标识</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JNWBS</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参照《业务代码表》中的“境内外标识代码”，填报代码。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476"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34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金融产品信息表</w:t>
      </w:r>
    </w:p>
    <w:tbl>
      <w:tblPr>
        <w:tblStyle w:val="25"/>
        <w:tblW w:w="8824" w:type="dxa"/>
        <w:tblInd w:w="0" w:type="dxa"/>
        <w:tblLayout w:type="fixed"/>
        <w:tblCellMar>
          <w:top w:w="0" w:type="dxa"/>
          <w:left w:w="108" w:type="dxa"/>
          <w:bottom w:w="0" w:type="dxa"/>
          <w:right w:w="108" w:type="dxa"/>
        </w:tblCellMar>
      </w:tblPr>
      <w:tblGrid>
        <w:gridCol w:w="1550"/>
        <w:gridCol w:w="1275"/>
        <w:gridCol w:w="853"/>
        <w:gridCol w:w="3683"/>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JRCPXXB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金融产品信息表</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D0103</w:t>
            </w:r>
          </w:p>
        </w:tc>
        <w:tc>
          <w:tcPr>
            <w:tcW w:w="5146"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在保险集团（控股）公司的关联方认定或关联交易中涉及的金融产品，以便向上识别产品的最终投资者，向下识别产品的底层资产，包含但不限于以下情况：关联方发行的金融产品、金融产品基础资产涉及关联方、与关联方共同投资。</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JT_BXXKZHM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JT_TYSHXYDM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金融产品全称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JRCPQC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003017</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金融产品在批准、注册或备案后的产品名称。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36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产品批准/注册/备案号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CPPZ_ZC_BAH</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004001</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批准、注册或备案机构配发的核准编号。如产品报送时产品批准、注册或备案号尚未公布，则填写产品管理人的内部编号，待后续产品批准、注册或备案号公布后及时更新。内部编号为14位，规则为报送机构的9位组织机构代码+3+4位顺序号。3代表关联方/关联方中间节点类型为金融产品等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003016</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由产品登记机构配发的产品代码。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产品分类</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CPFL</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003026</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参照《业务代码表》中的“产品类型代码”，填报代码。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产品登记机构</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CPDJJG</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为产品信息及份额信息等提供登记、托管等服务的机构。</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GL_CPGLRFDMC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发起产品设立、募集，并提供后续管理的金融机构。</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GL_CPGLRZJLX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产品管理人证件类型。参照《业务代码表》中的“证件类型代码”，填报代码。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GL_CPGLRZJHM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境内法人机构填写统一社会信用代码。境外法人机构则填写企业注册码、税务号等有效代码。如无上述代码，机构可自行定义。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产品管理人证件到期日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GL_CPGLRZJDQR</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产品管理人证件到期日。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GL_CPTGRFDMC</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负责本金融产品托管业务的金融机构。</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GL_CPTGRZJLX</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GL_CPTGRZJHM</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境内法人机构填写统一社会信用代码。境外法人机构则填写企业注册码、税务号等有效代码。如无上述代码，机构可自行定义。</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产品托管人证件到期日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GL_CPTGRZJDQR</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产品托管人证件到期日。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5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关联关系图谱</w:t>
      </w:r>
    </w:p>
    <w:tbl>
      <w:tblPr>
        <w:tblStyle w:val="25"/>
        <w:tblW w:w="8824" w:type="dxa"/>
        <w:tblInd w:w="0" w:type="dxa"/>
        <w:tblLayout w:type="fixed"/>
        <w:tblCellMar>
          <w:top w:w="0" w:type="dxa"/>
          <w:left w:w="108" w:type="dxa"/>
          <w:bottom w:w="0" w:type="dxa"/>
          <w:right w:w="108" w:type="dxa"/>
        </w:tblCellMar>
      </w:tblPr>
      <w:tblGrid>
        <w:gridCol w:w="1691"/>
        <w:gridCol w:w="1133"/>
        <w:gridCol w:w="852"/>
        <w:gridCol w:w="3687"/>
        <w:gridCol w:w="709"/>
        <w:gridCol w:w="752"/>
      </w:tblGrid>
      <w:tr>
        <w:tblPrEx>
          <w:tblCellMar>
            <w:top w:w="0" w:type="dxa"/>
            <w:left w:w="108" w:type="dxa"/>
            <w:bottom w:w="0" w:type="dxa"/>
            <w:right w:w="108" w:type="dxa"/>
          </w:tblCellMar>
        </w:tblPrEx>
        <w:trPr>
          <w:trHeight w:val="290" w:hRule="atLeast"/>
        </w:trPr>
        <w:tc>
          <w:tcPr>
            <w:tcW w:w="16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133"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2"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GLGXTP</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关联关系图谱</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D0104</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形成保险集团（控股）公司的自然人关联方、法人或非法人组织的关联关系，出于关联方穿透管理的需要，通过金融产品持股或施加重大影响形成的关联方，将相应金融产品作为关联方中间节点进行报送。数据报送以填报机构为最前一层关联方逐步向后扩展；两个关联方之间同一关联关系填报时，仅填报一个方向即可；自然人股东的近亲属持有或控制填报机构股份，持有或控制的股份应与自然人股东持有或控制填报机构股份分别填报。根节点数据无需报送。</w:t>
            </w:r>
          </w:p>
        </w:tc>
      </w:tr>
      <w:tr>
        <w:tblPrEx>
          <w:tblCellMar>
            <w:top w:w="0" w:type="dxa"/>
            <w:left w:w="108" w:type="dxa"/>
            <w:bottom w:w="0" w:type="dxa"/>
            <w:right w:w="108" w:type="dxa"/>
          </w:tblCellMar>
        </w:tblPrEx>
        <w:trPr>
          <w:trHeight w:val="7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保险集团（控股）公司保险许可证号码</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JT_BXXKZHM</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保险集团（控股）公司统一社会信用代码</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JT_TYSHXYDM</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7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保险集团（控股）公司名称</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JT_MC</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关联方名称/关联方中间节点名称</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GLFMC_GLFZJJDMC</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关联方名称填写法人或非法人组织的名称、自然人姓名。关联方中间节点名称填写金融产品名称。若为自然人姓名，隐私，保险集团（控股）公司变形。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关联方代码/关联方中间节点代码</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GLFDM_GLFZJJDDM</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方代码填写法人或其他组织的统一社会信用代码等有效代码、自然人对应证件类型的证件号码。关联方中间节点代码填写金融产品的批准、注册/备案号。若为自然人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关联方/关联方中间节点类型</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GLF_GLFZJJDLX</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枚举值为“法人或非法人组织；自然人；金融产品等其他”。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前一层关联方名称/关联方中间节点名称</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QYCGLFMC_GLFZJJDMC</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填写前一层法人或非法人组织的法人名称、自然人姓名、金融产品的产品全称。若为自然人姓名，隐私，保险集团（控股）公司变形。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前一层关联方代码/关联方中间节点代码</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QYCGLFDM_GLFZJJDDM</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填写法人或其他组织的统一社会信用代码等有效代码、自然人的证件号码、金融产品的批准、注册/备案号。若为自然人证件号码，隐私，保险集团（控股）公司变形。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前一层关联方/关联方中间节点类型</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QYCGLF_GLFZJJDLX</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004003</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枚举值为“法人或非法人组织；自然人；金融产品等其他”。</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与前一层的关联关系</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YQYCDGLGX</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004012</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参照《业务代码表》中的“关联关系代码”，填报代码。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与前一层之间是否有权益份额</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YQYCZJSFYQYFE</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004004</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枚举值为“是，对前一层持有；是，被前一层持有；否”。</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持有比例</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CYBL</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与前一层之间是否有权益份额”为“是，对前一层持有”或“是，被前一层持有”时，持有比例为必填。填报持有或被前一层关联方持有权益份额的比例，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10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质押股权比例</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ZYGQBL</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001049</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填报机构为前一层关联方时，关联方持有前一层关联方的质押股权数量占持有的股权总量的比例。与前一层之间是否有权益份额为“是，对前一层持有”或“是，被前一层持有”时，质押股权比例为必填，填数字，不填百分比，最少保留两位小数，比如12.34%填写为12.34。</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关联关系说明</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GLGXSM</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形成关联关系的原因说明。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该关系是否仍然有效</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GGXSFRRYX</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001010</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参照《业务代码表》中的“是否判断代码”，填报代码。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生效日期</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SXRQ</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该关联关系生效的时间。YYYYMMDD。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失效日期</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SXRQ2</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该关联关系失效的时间。YYYYMMDD。当“该关系是否仍然有效”为否时，失效日期字段为必填。关联关系仍然有效，失效日期不填，无效时必填。失效日期大于生效日期。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133"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7"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2"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4"/>
        <w:numPr>
          <w:ilvl w:val="0"/>
          <w:numId w:val="26"/>
        </w:numPr>
        <w:tabs>
          <w:tab w:val="left" w:pos="709"/>
          <w:tab w:val="left" w:pos="993"/>
        </w:tabs>
        <w:rPr>
          <w:rFonts w:ascii="仿宋" w:hAnsi="仿宋" w:eastAsia="仿宋"/>
        </w:rPr>
      </w:pPr>
      <w:bookmarkStart w:id="231" w:name="_Toc15645"/>
      <w:bookmarkStart w:id="232" w:name="_Toc15089"/>
      <w:bookmarkStart w:id="233" w:name="_Toc26875"/>
      <w:bookmarkStart w:id="234" w:name="_Toc20580"/>
      <w:bookmarkStart w:id="235" w:name="_Toc8220"/>
      <w:bookmarkStart w:id="236" w:name="_Toc73958617"/>
      <w:bookmarkStart w:id="237" w:name="_Toc13829"/>
      <w:r>
        <w:rPr>
          <w:rFonts w:hint="eastAsia" w:ascii="仿宋" w:hAnsi="仿宋" w:eastAsia="仿宋"/>
        </w:rPr>
        <w:t>关联交易详情</w:t>
      </w:r>
      <w:bookmarkEnd w:id="231"/>
      <w:bookmarkEnd w:id="232"/>
      <w:bookmarkEnd w:id="233"/>
      <w:bookmarkEnd w:id="234"/>
      <w:bookmarkEnd w:id="235"/>
      <w:bookmarkEnd w:id="236"/>
      <w:bookmarkEnd w:id="237"/>
    </w:p>
    <w:p>
      <w:pPr>
        <w:keepNext/>
        <w:keepLines/>
        <w:numPr>
          <w:ilvl w:val="1"/>
          <w:numId w:val="7"/>
        </w:numPr>
        <w:ind w:firstLineChars="0"/>
        <w:outlineLvl w:val="3"/>
        <w:rPr>
          <w:rFonts w:ascii="仿宋" w:hAnsi="仿宋" w:eastAsia="仿宋"/>
          <w:b/>
        </w:rPr>
      </w:pPr>
      <w:r>
        <w:rPr>
          <w:rFonts w:hint="eastAsia" w:ascii="仿宋" w:hAnsi="仿宋" w:eastAsia="仿宋"/>
          <w:b/>
        </w:rPr>
        <w:t>重大关联交易明细表</w:t>
      </w:r>
    </w:p>
    <w:bookmarkEnd w:id="137"/>
    <w:bookmarkEnd w:id="138"/>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tbl>
      <w:tblPr>
        <w:tblStyle w:val="25"/>
        <w:tblW w:w="8824" w:type="dxa"/>
        <w:tblInd w:w="0" w:type="dxa"/>
        <w:tblLayout w:type="fixed"/>
        <w:tblCellMar>
          <w:top w:w="0" w:type="dxa"/>
          <w:left w:w="108" w:type="dxa"/>
          <w:bottom w:w="0" w:type="dxa"/>
          <w:right w:w="108" w:type="dxa"/>
        </w:tblCellMar>
      </w:tblPr>
      <w:tblGrid>
        <w:gridCol w:w="1550"/>
        <w:gridCol w:w="1275"/>
        <w:gridCol w:w="851"/>
        <w:gridCol w:w="3685"/>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ZDGLJYMXB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重大关联交易明细表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D0201</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本表报送报告期内保险集团（控股）公司与关联方之间发生的各类重大关联交易，《银行保险机构关联交易管理办法》中明确的豁免事项免于报送。</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交易编号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机构自定义该笔交易的唯一识别号。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交易标的</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JYBD</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填报机构与关联方之间发生关联交易的标的或其资产情况。</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合同编号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HTBH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003056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关联交易协议的编号。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合同签署日期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HTQSRQ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填报合同最后一方签署日期。YYYYMMDD。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关联交易类型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GLJYLX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参照《业务代码表》中的“关联交易类型代码”，填报关联交易类型代码。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关联交易子类</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GLJYZL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参照《业务代码表》中的“关联交易类型代码”，填报关联交易子类代码。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交易金额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JYJE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填报机构与关联方之间关联交易的交易对价或转移利益的金额。核算成人民币，单位：元。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交易价格</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w:t>
            </w:r>
            <w:r>
              <w:rPr>
                <w:rFonts w:ascii="宋体" w:hAnsi="宋体" w:eastAsia="宋体"/>
                <w:color w:val="000000"/>
                <w:sz w:val="21"/>
                <w:szCs w:val="21"/>
              </w:rPr>
              <w:t>4013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以单笔关联交易各类业务的交易价格说明为准。单位：元。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定价政策</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DJZC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交易定价的确定原则及定价方法。</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对财务状况及经营成果的影响</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DCWZKJJYCGDYX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对填报机构财务状况及经营成果的描述。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参照《业务代码表》中的“关联方类型代码”，填报代码。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GL_GLFFDMC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填写法人或其他组织的法人名称、自然人姓名。若为自然人名称，隐私，保险集团（控股）公司变形。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GL_GLFZJLX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关联方证件类型。参照《业务代码表》中的“证件类型代码”，填报代码。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GL_GLFZJHM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填写法人或其他组织的统一社会信用代码等有效代码、自然人的证件号码。若为自然人证件号码，隐私，保险集团（控股）公司变形。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GL_GLFZJDQR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关联方证件到期日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达到重大关联交易的情形</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DDZDGLJYDQX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004011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枚举值为“单笔达到；累计达到”。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本年度与该关联方发生的关联交易累计金额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BNDYGGLFFSDGLJYLJJE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当达到重大关联交易的情形字段为“累计达到”，该字段为必填，核算成人民币，单位：元。除单笔达到重大关联交易及统一交易协议外，本年度与该关联方发生的累计交易金额，包括本笔交易金额在内。</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本年度与该关联方发生的重大关联交易明细批次</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BNDYGGLFFSDZDGLJYMXPC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当达到重大关联交易的情形字段为“累计达到”，该字段为必填，填报本年度与该关联方发生重点关联交易的批次号，当第一次累计达到重大关联交易时填报“1”，重新计算后第二次达到时填报“2”，以此类推。</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2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其他说明事项</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QTSMSX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除上述关键信息以外，其他需说明的重要或特殊事项。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一般关联交易明细表</w:t>
      </w:r>
    </w:p>
    <w:tbl>
      <w:tblPr>
        <w:tblStyle w:val="25"/>
        <w:tblW w:w="8824" w:type="dxa"/>
        <w:tblInd w:w="0" w:type="dxa"/>
        <w:tblLayout w:type="fixed"/>
        <w:tblCellMar>
          <w:top w:w="0" w:type="dxa"/>
          <w:left w:w="108" w:type="dxa"/>
          <w:bottom w:w="0" w:type="dxa"/>
          <w:right w:w="108" w:type="dxa"/>
        </w:tblCellMar>
      </w:tblPr>
      <w:tblGrid>
        <w:gridCol w:w="1550"/>
        <w:gridCol w:w="1275"/>
        <w:gridCol w:w="851"/>
        <w:gridCol w:w="3685"/>
        <w:gridCol w:w="709"/>
        <w:gridCol w:w="754"/>
      </w:tblGrid>
      <w:tr>
        <w:tblPrEx>
          <w:tblCellMar>
            <w:top w:w="0" w:type="dxa"/>
            <w:left w:w="108" w:type="dxa"/>
            <w:bottom w:w="0" w:type="dxa"/>
            <w:right w:w="108" w:type="dxa"/>
          </w:tblCellMar>
        </w:tblPrEx>
        <w:trPr>
          <w:trHeight w:val="290" w:hRule="atLeast"/>
        </w:trPr>
        <w:tc>
          <w:tcPr>
            <w:tcW w:w="15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275"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YBGLJYMXB</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一般关联交易明细表</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D0202</w:t>
            </w:r>
          </w:p>
        </w:tc>
        <w:tc>
          <w:tcPr>
            <w:tcW w:w="5148"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本表报送报告期内保险集团（控股）公司与关联方之间发生的各类一般关联交易，《银行保险机构关联交易管理办法》中明确的豁免事项免于报送。</w:t>
            </w:r>
          </w:p>
        </w:tc>
      </w:tr>
      <w:tr>
        <w:tblPrEx>
          <w:tblCellMar>
            <w:top w:w="0" w:type="dxa"/>
            <w:left w:w="108" w:type="dxa"/>
            <w:bottom w:w="0" w:type="dxa"/>
            <w:right w:w="108" w:type="dxa"/>
          </w:tblCellMar>
        </w:tblPrEx>
        <w:trPr>
          <w:trHeight w:val="79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保险集团（控股）公司保险许可证号码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JT_BXXKZHM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001042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中国银保监会统一设计和印制，授权给保险机构经营保险业务的许可证上记录的机构编码。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保险集团（控股）公司统一社会信用代码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JT_TYSHXYDM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保险集团（控股）公司的统一社会信用代码。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保险集团（控股）公司名称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保险集团（控股）公司的保险许可证中的机构名称。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流水号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统一社会信用代码+日期（YYYYMMDD）+10位流水，流水号是每天的流水号，每天都是从‘0000000001’开始。其中日期为上报数据时当前的系统日期。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交易编号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001023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机构自定义该笔交易的唯一识别号。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交易标的</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JYBD</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填报机构与关联方之间发生关联交易的标的或其资产情况。</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合同编号</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HTBH</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003056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关联交易协议的编号。</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合同签署日期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HTQSRQ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填报合同最后一方签署日期。YYYYMMDD。</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关联交易类型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GLJYLX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参照《业务代码表》中的“关联交易类型代码”，填报关联交易类型代码。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关联交易子类</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GLJYZL</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004006</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参照《业务代码表》中的“关联交易类型代码”，填报关联交易子类代码。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交易金额</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JYJE</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填报机构与关联方之间关联交易的交易对价或转移利益的金额。核算成人民币，单位：元。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交易价格</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JYJG</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w:t>
            </w:r>
            <w:r>
              <w:rPr>
                <w:rFonts w:ascii="宋体" w:hAnsi="宋体" w:eastAsia="宋体"/>
                <w:color w:val="000000"/>
                <w:sz w:val="21"/>
                <w:szCs w:val="21"/>
              </w:rPr>
              <w:t>4013</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以单笔关联交易各类业务的交易价格说明为准。单位：元。</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定价政策</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DJZC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004007</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交易定价的确定原则及定价方法。</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对财务状况及经营成果的影响</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DCWZKJJYCGDYX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004008</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对填报机构财务状况及经营成果的描述。</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GLFLX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004010</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参照《业务代码表》中的“关联方类型代码”，填报代码。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关联方法定名称</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GL_GLFFDMC</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填写法人或其他组织的法人名称、自然人姓名。若为自然人名称，隐私，保险集团（控股）公司变形。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关联方证件类型</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GL_GLFZJLX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001019</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关联方证件类型。参照《业务代码表》中的“证件类型代码”，填报代码。</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关联方证件号码</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GL_GLFZJHM</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004002</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填写法人或其他组织的统一社会信用代码等有效代码、自然人的证件号码。若为自然人证件号码，隐私，保险集团（控股）公司变形。</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r>
      <w:tr>
        <w:tblPrEx>
          <w:tblCellMar>
            <w:top w:w="0" w:type="dxa"/>
            <w:left w:w="108" w:type="dxa"/>
            <w:bottom w:w="0" w:type="dxa"/>
            <w:right w:w="108" w:type="dxa"/>
          </w:tblCellMar>
        </w:tblPrEx>
        <w:trPr>
          <w:trHeight w:val="55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关联方证件到期日</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GL_GLFZJDQR</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关联方证件到期日</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53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其他说明事项</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QTSMSX</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002011</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除上述关键信息以外，其他需说明的重要或特殊事项。</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否</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r>
        <w:tblPrEx>
          <w:tblCellMar>
            <w:top w:w="0" w:type="dxa"/>
            <w:left w:w="108" w:type="dxa"/>
            <w:bottom w:w="0" w:type="dxa"/>
            <w:right w:w="108" w:type="dxa"/>
          </w:tblCellMar>
        </w:tblPrEx>
        <w:trPr>
          <w:trHeight w:val="820" w:hRule="atLeast"/>
        </w:trPr>
        <w:tc>
          <w:tcPr>
            <w:tcW w:w="1550"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采集日期</w:t>
            </w:r>
          </w:p>
        </w:tc>
        <w:tc>
          <w:tcPr>
            <w:tcW w:w="127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51"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001005</w:t>
            </w:r>
          </w:p>
        </w:tc>
        <w:tc>
          <w:tcPr>
            <w:tcW w:w="368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olor w:val="000000"/>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是</w:t>
            </w:r>
          </w:p>
        </w:tc>
        <w:tc>
          <w:tcPr>
            <w:tcW w:w="754"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　</w:t>
            </w:r>
          </w:p>
        </w:tc>
      </w:tr>
    </w:tbl>
    <w:p>
      <w:pPr>
        <w:ind w:firstLine="0" w:firstLineChars="0"/>
      </w:pPr>
    </w:p>
    <w:p>
      <w:pPr>
        <w:pStyle w:val="3"/>
        <w:numPr>
          <w:ilvl w:val="0"/>
          <w:numId w:val="6"/>
        </w:numPr>
        <w:ind w:left="0"/>
        <w:rPr>
          <w:szCs w:val="30"/>
        </w:rPr>
      </w:pPr>
      <w:bookmarkStart w:id="238" w:name="_Toc98147819"/>
      <w:r>
        <w:rPr>
          <w:rFonts w:hint="eastAsia"/>
          <w:szCs w:val="30"/>
        </w:rPr>
        <w:t>风险管理</w:t>
      </w:r>
      <w:bookmarkEnd w:id="238"/>
    </w:p>
    <w:p>
      <w:pPr>
        <w:pStyle w:val="4"/>
        <w:numPr>
          <w:ilvl w:val="0"/>
          <w:numId w:val="27"/>
        </w:numPr>
        <w:tabs>
          <w:tab w:val="left" w:pos="709"/>
          <w:tab w:val="left" w:pos="993"/>
        </w:tabs>
        <w:rPr>
          <w:rFonts w:ascii="仿宋" w:hAnsi="仿宋" w:eastAsia="仿宋"/>
        </w:rPr>
      </w:pPr>
      <w:r>
        <w:rPr>
          <w:rFonts w:hint="eastAsia" w:ascii="仿宋" w:hAnsi="仿宋" w:eastAsia="仿宋"/>
        </w:rPr>
        <w:t>集团成员公司</w:t>
      </w:r>
    </w:p>
    <w:p>
      <w:pPr>
        <w:keepNext/>
        <w:keepLines/>
        <w:numPr>
          <w:ilvl w:val="1"/>
          <w:numId w:val="7"/>
        </w:numPr>
        <w:ind w:firstLineChars="0"/>
        <w:outlineLvl w:val="3"/>
        <w:rPr>
          <w:rFonts w:ascii="仿宋" w:hAnsi="仿宋" w:eastAsia="仿宋"/>
          <w:b/>
        </w:rPr>
      </w:pPr>
      <w:r>
        <w:rPr>
          <w:rFonts w:hint="eastAsia" w:ascii="仿宋" w:hAnsi="仿宋" w:eastAsia="仿宋"/>
          <w:b/>
        </w:rPr>
        <w:t>重大风险事件信息表</w:t>
      </w:r>
    </w:p>
    <w:tbl>
      <w:tblPr>
        <w:tblStyle w:val="25"/>
        <w:tblW w:w="8822" w:type="dxa"/>
        <w:tblInd w:w="0" w:type="dxa"/>
        <w:tblLayout w:type="fixed"/>
        <w:tblCellMar>
          <w:top w:w="0" w:type="dxa"/>
          <w:left w:w="108" w:type="dxa"/>
          <w:bottom w:w="0" w:type="dxa"/>
          <w:right w:w="108" w:type="dxa"/>
        </w:tblCellMar>
      </w:tblPr>
      <w:tblGrid>
        <w:gridCol w:w="1691"/>
        <w:gridCol w:w="1700"/>
        <w:gridCol w:w="850"/>
        <w:gridCol w:w="3118"/>
        <w:gridCol w:w="708"/>
        <w:gridCol w:w="755"/>
      </w:tblGrid>
      <w:tr>
        <w:tblPrEx>
          <w:tblCellMar>
            <w:top w:w="0" w:type="dxa"/>
            <w:left w:w="108" w:type="dxa"/>
            <w:bottom w:w="0" w:type="dxa"/>
            <w:right w:w="108" w:type="dxa"/>
          </w:tblCellMar>
        </w:tblPrEx>
        <w:trPr>
          <w:trHeight w:val="290" w:hRule="atLeast"/>
        </w:trPr>
        <w:tc>
          <w:tcPr>
            <w:tcW w:w="1691"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700"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458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CellMar>
            <w:top w:w="0" w:type="dxa"/>
            <w:left w:w="108" w:type="dxa"/>
            <w:bottom w:w="0" w:type="dxa"/>
            <w:right w:w="108" w:type="dxa"/>
          </w:tblCellMar>
        </w:tblPrEx>
        <w:trPr>
          <w:trHeight w:val="57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ZDFXSJXXB</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重大风险事件信息表</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E0101</w:t>
            </w:r>
          </w:p>
        </w:tc>
        <w:tc>
          <w:tcPr>
            <w:tcW w:w="4581"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本表报送对保险集团造成重大影响的风险事件。</w:t>
            </w:r>
          </w:p>
        </w:tc>
      </w:tr>
      <w:tr>
        <w:tblPrEx>
          <w:tblCellMar>
            <w:top w:w="0" w:type="dxa"/>
            <w:left w:w="108" w:type="dxa"/>
            <w:bottom w:w="0" w:type="dxa"/>
            <w:right w:w="108" w:type="dxa"/>
          </w:tblCellMar>
        </w:tblPrEx>
        <w:trPr>
          <w:trHeight w:val="7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保险集团（控股）公司保险许可证号码</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JT_BXXKZHM</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001042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中国银保监会统一设计和印制，授权给保险机构经营保险业务的许可证上记录的机构编码。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保险集团（控股）公司统一社会信用代码</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JT_TYSHXYDM</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001003</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保险集团（控股）公司</w:t>
            </w:r>
            <w:r>
              <w:rPr>
                <w:rFonts w:ascii="宋体" w:hAnsi="宋体" w:eastAsia="宋体"/>
                <w:sz w:val="21"/>
                <w:szCs w:val="21"/>
              </w:rPr>
              <w:t>的统一社会信用代码。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CellMar>
            <w:top w:w="0" w:type="dxa"/>
            <w:left w:w="108" w:type="dxa"/>
            <w:bottom w:w="0" w:type="dxa"/>
            <w:right w:w="108" w:type="dxa"/>
          </w:tblCellMar>
        </w:tblPrEx>
        <w:trPr>
          <w:trHeight w:val="7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保险集团（控股）公司名称</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JT_MC</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001002</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保险集团（控股）公司</w:t>
            </w:r>
            <w:r>
              <w:rPr>
                <w:rFonts w:ascii="宋体" w:hAnsi="宋体" w:eastAsia="宋体"/>
                <w:sz w:val="21"/>
                <w:szCs w:val="21"/>
              </w:rPr>
              <w:t>的保险许可证中的机构名称。</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流水号</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LSH</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统一社会信用代码+日期（YYYYMMDD）+10位流水，流水号是每天的流水号，每天都是从‘0000000001’开始。其中日期为上报数据时当前的系统日期。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风险事件文号</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FXSJWH</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001023</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风险事件文号，机构自行定义，应具有唯一性。</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风险事件名称</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FXSJMC</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001015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风险事件名称，机构自行定义，应具有唯一性。</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71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风险类型</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FXLX</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005001</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风险事件类型。参照《业务代码表》中的“风险类型代码”，填报代码。</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55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风险事件发生时间</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FXSJFSSJ</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风险事件发生时间。</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29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风险事件描述</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FXSJMS</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003007</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文字描述本次风险事件的起因、目前状态、可能产生的影响和拟采取的措施。</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CellMar>
            <w:top w:w="0" w:type="dxa"/>
            <w:left w:w="108" w:type="dxa"/>
            <w:bottom w:w="0" w:type="dxa"/>
            <w:right w:w="108" w:type="dxa"/>
          </w:tblCellMar>
        </w:tblPrEx>
        <w:trPr>
          <w:trHeight w:val="820" w:hRule="atLeast"/>
        </w:trPr>
        <w:tc>
          <w:tcPr>
            <w:tcW w:w="1691" w:type="dxa"/>
            <w:tcBorders>
              <w:top w:val="nil"/>
              <w:left w:val="single" w:color="auto" w:sz="8" w:space="0"/>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采集日期</w:t>
            </w:r>
          </w:p>
        </w:tc>
        <w:tc>
          <w:tcPr>
            <w:tcW w:w="170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color w:val="000000"/>
                <w:sz w:val="21"/>
                <w:szCs w:val="21"/>
              </w:rPr>
              <w:t>CJRQ</w:t>
            </w:r>
          </w:p>
        </w:tc>
        <w:tc>
          <w:tcPr>
            <w:tcW w:w="850"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001005</w:t>
            </w:r>
          </w:p>
        </w:tc>
        <w:tc>
          <w:tcPr>
            <w:tcW w:w="311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8"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5" w:type="dxa"/>
            <w:tcBorders>
              <w:top w:val="nil"/>
              <w:left w:val="nil"/>
              <w:bottom w:val="single" w:color="auto" w:sz="8" w:space="0"/>
              <w:right w:val="single" w:color="auto" w:sz="8" w:space="0"/>
            </w:tcBorders>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bl>
    <w:p>
      <w:pPr>
        <w:ind w:firstLine="0" w:firstLineChars="0"/>
      </w:pPr>
    </w:p>
    <w:p>
      <w:pPr>
        <w:keepNext/>
        <w:keepLines/>
        <w:numPr>
          <w:ilvl w:val="1"/>
          <w:numId w:val="7"/>
        </w:numPr>
        <w:ind w:firstLineChars="0"/>
        <w:outlineLvl w:val="3"/>
        <w:rPr>
          <w:rFonts w:ascii="仿宋" w:hAnsi="仿宋" w:eastAsia="仿宋"/>
          <w:b/>
        </w:rPr>
      </w:pPr>
      <w:r>
        <w:rPr>
          <w:rFonts w:hint="eastAsia" w:ascii="仿宋" w:hAnsi="仿宋" w:eastAsia="仿宋"/>
          <w:b/>
        </w:rPr>
        <w:t>对外担保情况信息表</w:t>
      </w:r>
    </w:p>
    <w:tbl>
      <w:tblPr>
        <w:tblStyle w:val="25"/>
        <w:tblW w:w="88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1349"/>
        <w:gridCol w:w="851"/>
        <w:gridCol w:w="3685"/>
        <w:gridCol w:w="709"/>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表名</w:t>
            </w:r>
          </w:p>
        </w:tc>
        <w:tc>
          <w:tcPr>
            <w:tcW w:w="1349"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表中文名</w:t>
            </w:r>
          </w:p>
        </w:tc>
        <w:tc>
          <w:tcPr>
            <w:tcW w:w="851"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表编号</w:t>
            </w:r>
          </w:p>
        </w:tc>
        <w:tc>
          <w:tcPr>
            <w:tcW w:w="5148" w:type="dxa"/>
            <w:gridSpan w:val="3"/>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DWDBQKXXB</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对外担保情况信息表</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E0102</w:t>
            </w:r>
          </w:p>
        </w:tc>
        <w:tc>
          <w:tcPr>
            <w:tcW w:w="5148" w:type="dxa"/>
            <w:gridSpan w:val="3"/>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本表报送保险集团（控股）公司及子公司对外担保信息。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数据项名称</w:t>
            </w:r>
          </w:p>
        </w:tc>
        <w:tc>
          <w:tcPr>
            <w:tcW w:w="1349"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数据项代码</w:t>
            </w:r>
          </w:p>
        </w:tc>
        <w:tc>
          <w:tcPr>
            <w:tcW w:w="851"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3685"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数据项说明</w:t>
            </w:r>
          </w:p>
        </w:tc>
        <w:tc>
          <w:tcPr>
            <w:tcW w:w="709"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是否必填</w:t>
            </w:r>
          </w:p>
        </w:tc>
        <w:tc>
          <w:tcPr>
            <w:tcW w:w="754" w:type="dxa"/>
            <w:shd w:val="clear" w:color="auto" w:fill="auto"/>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是否主键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保险集团（控股）公司保险许可证号码</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JT_BXXKZHM</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001042</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中国银保监会统一设计和印制，授权给保险机构经营保险业务的许可证上记录的机构编码。</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保险集团（控股）公司统一社会信用代码</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JT_TYSHXYDM</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001003</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保险集团（控股）公司</w:t>
            </w:r>
            <w:r>
              <w:rPr>
                <w:rFonts w:ascii="宋体" w:hAnsi="宋体" w:eastAsia="宋体"/>
                <w:sz w:val="21"/>
                <w:szCs w:val="21"/>
              </w:rPr>
              <w:t>的统一社会信用代码。</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保险集团（控股）公司名称</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JT_MC</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001002</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保险集团（控股）公司</w:t>
            </w:r>
            <w:r>
              <w:rPr>
                <w:rFonts w:ascii="宋体" w:hAnsi="宋体" w:eastAsia="宋体"/>
                <w:sz w:val="21"/>
                <w:szCs w:val="21"/>
              </w:rPr>
              <w:t>的保险许可证中的机构名称。</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流水号</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LSH</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001001</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统一社会信用代码+日期（YYYYMMDD）+10位流水，流水号是每天的流水号，每天都是从‘0000000001’开始。其中日期为上报数据时当前的系统日期。</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成员公司保险许可证号码</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CY_BXXKZHM</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001042</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中国银保监会统一设计和印制，授权给保险机构经营保险业务的许可证上记录的机构编码。</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否</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成员公司统一社会信用代码</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CY_TYSHXYDM</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001003</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境内成员公司填写统一社会信用代码，境外成员公司则填写企业注册码、税务号等有效代码。如无上述代码，机构可自行定义。保险集团（控股）公司填写本公司统一社会信用代码。</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成员公司名称</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CY_MC</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001002</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成员公司工商注册的名称。</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担保方式</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DBFS</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005002</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担保方式。参照《业务代码表》中的“担保方式代码”，填报代码。</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对外担保余额</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DWDBYE</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001015</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hint="eastAsia" w:ascii="宋体" w:hAnsi="宋体" w:eastAsia="宋体"/>
                <w:sz w:val="21"/>
                <w:szCs w:val="21"/>
              </w:rPr>
              <w:t>截至报送日期，本公司对外担保的余额，以人民币填报，单位：元。</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476"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hint="eastAsia" w:ascii="宋体" w:hAnsi="宋体" w:eastAsia="宋体"/>
                <w:sz w:val="21"/>
                <w:szCs w:val="21"/>
              </w:rPr>
              <w:t>采集日期</w:t>
            </w:r>
          </w:p>
        </w:tc>
        <w:tc>
          <w:tcPr>
            <w:tcW w:w="134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CJRQ</w:t>
            </w:r>
          </w:p>
        </w:tc>
        <w:tc>
          <w:tcPr>
            <w:tcW w:w="851"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001005</w:t>
            </w:r>
          </w:p>
        </w:tc>
        <w:tc>
          <w:tcPr>
            <w:tcW w:w="3685" w:type="dxa"/>
            <w:shd w:val="clear" w:color="auto" w:fill="auto"/>
            <w:vAlign w:val="center"/>
          </w:tcPr>
          <w:p>
            <w:pPr>
              <w:widowControl/>
              <w:spacing w:line="240" w:lineRule="auto"/>
              <w:ind w:firstLine="0" w:firstLineChars="0"/>
              <w:jc w:val="left"/>
              <w:rPr>
                <w:rFonts w:ascii="宋体" w:hAnsi="宋体" w:eastAsia="宋体" w:cs="宋体"/>
                <w:color w:val="000000"/>
                <w:kern w:val="0"/>
                <w:sz w:val="21"/>
                <w:szCs w:val="21"/>
              </w:rPr>
            </w:pPr>
            <w:r>
              <w:rPr>
                <w:rFonts w:ascii="宋体" w:hAnsi="宋体" w:eastAsia="宋体"/>
                <w:sz w:val="21"/>
                <w:szCs w:val="21"/>
              </w:rPr>
              <w:t>指该期（批次）数据报送的期末日期，例如：按日采集的表，采集日期应为每日；按月采集的表，采集日期应为月末最后一天；以此类推。有特殊报送要求的，应以报送要求的截至日期为采集日期。</w:t>
            </w:r>
          </w:p>
        </w:tc>
        <w:tc>
          <w:tcPr>
            <w:tcW w:w="709"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r>
              <w:rPr>
                <w:rFonts w:ascii="宋体" w:hAnsi="宋体" w:eastAsia="宋体"/>
                <w:sz w:val="21"/>
                <w:szCs w:val="21"/>
              </w:rPr>
              <w:t>是</w:t>
            </w:r>
          </w:p>
        </w:tc>
        <w:tc>
          <w:tcPr>
            <w:tcW w:w="754" w:type="dxa"/>
            <w:shd w:val="clear" w:color="auto" w:fill="auto"/>
            <w:vAlign w:val="center"/>
          </w:tcPr>
          <w:p>
            <w:pPr>
              <w:widowControl/>
              <w:spacing w:line="240" w:lineRule="auto"/>
              <w:ind w:firstLine="0" w:firstLineChars="0"/>
              <w:jc w:val="center"/>
              <w:rPr>
                <w:rFonts w:ascii="宋体" w:hAnsi="宋体" w:eastAsia="宋体" w:cs="宋体"/>
                <w:color w:val="000000"/>
                <w:kern w:val="0"/>
                <w:sz w:val="21"/>
                <w:szCs w:val="21"/>
              </w:rPr>
            </w:pPr>
          </w:p>
        </w:tc>
      </w:tr>
    </w:tbl>
    <w:p>
      <w:pPr>
        <w:ind w:firstLine="0" w:firstLineChars="0"/>
      </w:pPr>
    </w:p>
    <w:p>
      <w:pPr>
        <w:keepNext/>
        <w:keepLines/>
        <w:numPr>
          <w:ilvl w:val="0"/>
          <w:numId w:val="1"/>
        </w:numPr>
        <w:ind w:left="0" w:firstLine="600" w:firstLineChars="0"/>
        <w:outlineLvl w:val="0"/>
        <w:rPr>
          <w:rFonts w:ascii="黑体" w:hAnsi="黑体" w:eastAsia="黑体"/>
          <w:kern w:val="44"/>
          <w:szCs w:val="30"/>
        </w:rPr>
      </w:pPr>
      <w:bookmarkStart w:id="239" w:name="_Toc2110"/>
      <w:bookmarkStart w:id="240" w:name="_Toc6738"/>
      <w:bookmarkStart w:id="241" w:name="_Toc29349"/>
      <w:bookmarkStart w:id="242" w:name="_Toc98147820"/>
      <w:bookmarkStart w:id="243" w:name="_Toc1038"/>
      <w:bookmarkStart w:id="244" w:name="_Toc2887"/>
      <w:bookmarkStart w:id="245" w:name="_Toc31149"/>
      <w:bookmarkStart w:id="246" w:name="_Toc28139"/>
      <w:bookmarkStart w:id="247" w:name="_Toc15804"/>
      <w:bookmarkStart w:id="248" w:name="_Toc73958618"/>
      <w:r>
        <w:rPr>
          <w:rFonts w:hint="eastAsia" w:ascii="黑体" w:hAnsi="黑体" w:eastAsia="黑体"/>
          <w:kern w:val="44"/>
          <w:szCs w:val="30"/>
        </w:rPr>
        <w:t>数据元说明</w:t>
      </w:r>
      <w:bookmarkEnd w:id="239"/>
      <w:bookmarkEnd w:id="240"/>
      <w:bookmarkEnd w:id="241"/>
      <w:bookmarkEnd w:id="242"/>
      <w:bookmarkEnd w:id="243"/>
      <w:bookmarkEnd w:id="244"/>
      <w:bookmarkEnd w:id="245"/>
      <w:bookmarkEnd w:id="246"/>
      <w:bookmarkEnd w:id="247"/>
      <w:bookmarkEnd w:id="248"/>
    </w:p>
    <w:p>
      <w:pPr>
        <w:pStyle w:val="3"/>
        <w:numPr>
          <w:ilvl w:val="0"/>
          <w:numId w:val="28"/>
        </w:numPr>
        <w:rPr>
          <w:szCs w:val="30"/>
        </w:rPr>
      </w:pPr>
      <w:bookmarkStart w:id="249" w:name="_Toc25393"/>
      <w:bookmarkStart w:id="250" w:name="_Toc10050"/>
      <w:bookmarkStart w:id="251" w:name="_Toc1195"/>
      <w:bookmarkStart w:id="252" w:name="_Toc13363"/>
      <w:bookmarkStart w:id="253" w:name="_Toc10427"/>
      <w:bookmarkStart w:id="254" w:name="_Toc26865"/>
      <w:bookmarkStart w:id="255" w:name="_Toc73958619"/>
      <w:bookmarkStart w:id="256" w:name="_Toc27288"/>
      <w:bookmarkStart w:id="257" w:name="_Toc3297"/>
      <w:bookmarkStart w:id="258" w:name="_Toc98147821"/>
      <w:bookmarkStart w:id="259" w:name="_Toc31178"/>
      <w:bookmarkStart w:id="260" w:name="_Toc16676"/>
      <w:r>
        <w:rPr>
          <w:szCs w:val="30"/>
        </w:rPr>
        <w:t>数据元描述规则</w:t>
      </w:r>
      <w:bookmarkEnd w:id="249"/>
      <w:bookmarkEnd w:id="250"/>
      <w:bookmarkEnd w:id="251"/>
      <w:bookmarkEnd w:id="252"/>
      <w:bookmarkEnd w:id="253"/>
      <w:bookmarkEnd w:id="254"/>
      <w:bookmarkEnd w:id="255"/>
      <w:bookmarkEnd w:id="256"/>
      <w:bookmarkEnd w:id="257"/>
      <w:bookmarkEnd w:id="258"/>
      <w:bookmarkEnd w:id="259"/>
      <w:bookmarkEnd w:id="260"/>
    </w:p>
    <w:p>
      <w:pPr>
        <w:ind w:firstLine="600"/>
        <w:rPr>
          <w:rFonts w:ascii="仿宋" w:hAnsi="仿宋" w:eastAsia="仿宋" w:cs="仿宋_GB2312"/>
          <w:szCs w:val="30"/>
        </w:rPr>
      </w:pPr>
      <w:r>
        <w:rPr>
          <w:rFonts w:hint="eastAsia" w:ascii="仿宋" w:hAnsi="仿宋" w:eastAsia="仿宋" w:cs="仿宋_GB2312"/>
          <w:szCs w:val="30"/>
        </w:rPr>
        <w:t>数据元的描述格式如下：</w:t>
      </w:r>
    </w:p>
    <w:p>
      <w:pPr>
        <w:ind w:firstLine="600"/>
        <w:rPr>
          <w:rFonts w:ascii="仿宋" w:hAnsi="仿宋" w:eastAsia="仿宋" w:cs="仿宋_GB2312"/>
          <w:szCs w:val="30"/>
        </w:rPr>
      </w:pPr>
      <w:r>
        <w:rPr>
          <w:rFonts w:ascii="仿宋" w:hAnsi="仿宋" w:eastAsia="仿宋" w:cs="仿宋_GB2312"/>
          <w:szCs w:val="30"/>
        </w:rPr>
        <w:t>1.分类：数据元所在类目组。</w:t>
      </w:r>
    </w:p>
    <w:p>
      <w:pPr>
        <w:ind w:firstLine="600"/>
        <w:rPr>
          <w:rFonts w:ascii="仿宋" w:hAnsi="仿宋" w:eastAsia="仿宋" w:cs="仿宋_GB2312"/>
          <w:szCs w:val="30"/>
        </w:rPr>
      </w:pPr>
      <w:r>
        <w:rPr>
          <w:rFonts w:ascii="仿宋" w:hAnsi="仿宋" w:eastAsia="仿宋" w:cs="仿宋_GB2312"/>
          <w:szCs w:val="30"/>
        </w:rPr>
        <w:t>2.编码：该数据项所对应的数据元在数据元目录中的唯一标识符，采用六位数字来标记；其中第1-3位表示为元素类别号，第4-6位为数据表中经过元素标准化合并后的顺序号，如果某表中出现了之前已经编号的元素则不重复编号。本部分中，第1-3位的表示按如下分类：</w:t>
      </w:r>
    </w:p>
    <w:p>
      <w:pPr>
        <w:ind w:firstLine="600"/>
        <w:rPr>
          <w:rFonts w:ascii="仿宋" w:hAnsi="仿宋" w:eastAsia="仿宋" w:cs="仿宋_GB2312"/>
          <w:szCs w:val="30"/>
        </w:rPr>
      </w:pPr>
      <w:r>
        <w:rPr>
          <w:rFonts w:ascii="仿宋" w:hAnsi="仿宋" w:eastAsia="仿宋" w:cs="仿宋_GB2312"/>
          <w:szCs w:val="30"/>
        </w:rPr>
        <w:t>001-</w:t>
      </w:r>
      <w:r>
        <w:rPr>
          <w:rFonts w:hint="eastAsia" w:ascii="仿宋" w:hAnsi="仿宋" w:eastAsia="仿宋" w:cs="仿宋_GB2312"/>
          <w:szCs w:val="30"/>
        </w:rPr>
        <w:t>公司治理</w:t>
      </w:r>
    </w:p>
    <w:p>
      <w:pPr>
        <w:ind w:firstLine="600"/>
        <w:rPr>
          <w:rFonts w:ascii="仿宋" w:hAnsi="仿宋" w:eastAsia="仿宋" w:cs="仿宋_GB2312"/>
          <w:szCs w:val="30"/>
        </w:rPr>
      </w:pPr>
      <w:r>
        <w:rPr>
          <w:rFonts w:ascii="仿宋" w:hAnsi="仿宋" w:eastAsia="仿宋" w:cs="仿宋_GB2312"/>
          <w:szCs w:val="30"/>
        </w:rPr>
        <w:t>002-</w:t>
      </w:r>
      <w:r>
        <w:rPr>
          <w:rFonts w:hint="eastAsia" w:ascii="仿宋" w:hAnsi="仿宋" w:eastAsia="仿宋" w:cs="仿宋_GB2312"/>
          <w:szCs w:val="30"/>
        </w:rPr>
        <w:t>公司财务</w:t>
      </w:r>
    </w:p>
    <w:p>
      <w:pPr>
        <w:ind w:firstLine="600"/>
        <w:rPr>
          <w:rFonts w:ascii="仿宋" w:hAnsi="仿宋" w:eastAsia="仿宋" w:cs="仿宋_GB2312"/>
          <w:szCs w:val="30"/>
        </w:rPr>
      </w:pPr>
      <w:r>
        <w:rPr>
          <w:rFonts w:ascii="仿宋" w:hAnsi="仿宋" w:eastAsia="仿宋" w:cs="仿宋_GB2312"/>
          <w:szCs w:val="30"/>
        </w:rPr>
        <w:t>003-</w:t>
      </w:r>
      <w:r>
        <w:rPr>
          <w:rFonts w:hint="eastAsia" w:ascii="仿宋" w:hAnsi="仿宋" w:eastAsia="仿宋" w:cs="仿宋_GB2312"/>
          <w:szCs w:val="30"/>
        </w:rPr>
        <w:t>保险集团（控股）公司业务</w:t>
      </w:r>
    </w:p>
    <w:p>
      <w:pPr>
        <w:ind w:firstLine="600"/>
        <w:rPr>
          <w:rFonts w:ascii="仿宋" w:hAnsi="仿宋" w:eastAsia="仿宋" w:cs="仿宋_GB2312"/>
          <w:szCs w:val="30"/>
        </w:rPr>
      </w:pPr>
      <w:r>
        <w:rPr>
          <w:rFonts w:ascii="仿宋" w:hAnsi="仿宋" w:eastAsia="仿宋" w:cs="仿宋_GB2312"/>
          <w:szCs w:val="30"/>
        </w:rPr>
        <w:t>004-</w:t>
      </w:r>
      <w:r>
        <w:rPr>
          <w:rFonts w:hint="eastAsia" w:ascii="仿宋" w:hAnsi="仿宋" w:eastAsia="仿宋" w:cs="仿宋_GB2312"/>
          <w:szCs w:val="30"/>
        </w:rPr>
        <w:t>保险集团（控股）公司关联交易</w:t>
      </w:r>
    </w:p>
    <w:p>
      <w:pPr>
        <w:ind w:firstLine="600"/>
        <w:rPr>
          <w:rFonts w:ascii="仿宋" w:hAnsi="仿宋" w:eastAsia="仿宋" w:cs="仿宋_GB2312"/>
          <w:szCs w:val="30"/>
        </w:rPr>
      </w:pPr>
      <w:r>
        <w:rPr>
          <w:rFonts w:hint="eastAsia" w:ascii="仿宋" w:hAnsi="仿宋" w:eastAsia="仿宋" w:cs="仿宋_GB2312"/>
          <w:szCs w:val="30"/>
        </w:rPr>
        <w:t>0</w:t>
      </w:r>
      <w:r>
        <w:rPr>
          <w:rFonts w:ascii="仿宋" w:hAnsi="仿宋" w:eastAsia="仿宋" w:cs="仿宋_GB2312"/>
          <w:szCs w:val="30"/>
        </w:rPr>
        <w:t>05</w:t>
      </w:r>
      <w:r>
        <w:rPr>
          <w:rFonts w:hint="eastAsia" w:ascii="仿宋" w:hAnsi="仿宋" w:eastAsia="仿宋" w:cs="仿宋_GB2312"/>
          <w:szCs w:val="30"/>
        </w:rPr>
        <w:t>-风险管理</w:t>
      </w:r>
    </w:p>
    <w:p>
      <w:pPr>
        <w:ind w:firstLine="600"/>
        <w:rPr>
          <w:rFonts w:ascii="仿宋" w:hAnsi="仿宋" w:eastAsia="仿宋" w:cs="仿宋_GB2312"/>
          <w:szCs w:val="30"/>
        </w:rPr>
      </w:pPr>
      <w:r>
        <w:rPr>
          <w:rFonts w:ascii="仿宋" w:hAnsi="仿宋" w:eastAsia="仿宋" w:cs="仿宋_GB2312"/>
          <w:szCs w:val="30"/>
        </w:rPr>
        <w:t>3.名称：数据元的中文名称，应按照国家标准GB/T 18391.5-2009中规定的数据元命名原则进行命名。</w:t>
      </w:r>
    </w:p>
    <w:p>
      <w:pPr>
        <w:ind w:firstLine="600"/>
        <w:rPr>
          <w:rFonts w:ascii="仿宋" w:hAnsi="仿宋" w:eastAsia="仿宋" w:cs="仿宋_GB2312"/>
          <w:szCs w:val="30"/>
        </w:rPr>
      </w:pPr>
      <w:r>
        <w:rPr>
          <w:rFonts w:ascii="仿宋" w:hAnsi="仿宋" w:eastAsia="仿宋" w:cs="仿宋_GB2312"/>
          <w:szCs w:val="30"/>
        </w:rPr>
        <w:t>4.说明和取值范围：数据元的含义描述。</w:t>
      </w:r>
    </w:p>
    <w:p>
      <w:pPr>
        <w:ind w:firstLine="600"/>
        <w:rPr>
          <w:rFonts w:ascii="仿宋" w:hAnsi="仿宋" w:eastAsia="仿宋" w:cs="仿宋_GB2312"/>
          <w:szCs w:val="30"/>
        </w:rPr>
      </w:pPr>
      <w:r>
        <w:rPr>
          <w:rFonts w:ascii="仿宋" w:hAnsi="仿宋" w:eastAsia="仿宋" w:cs="仿宋_GB2312"/>
          <w:szCs w:val="30"/>
        </w:rPr>
        <w:t>5.格式：数据元值的类型及长度的表示形式，按照GB/T 18142-2017的要求进行规定。</w:t>
      </w:r>
    </w:p>
    <w:p>
      <w:pPr>
        <w:pStyle w:val="3"/>
        <w:numPr>
          <w:ilvl w:val="0"/>
          <w:numId w:val="28"/>
        </w:numPr>
        <w:rPr>
          <w:szCs w:val="30"/>
        </w:rPr>
      </w:pPr>
      <w:bookmarkStart w:id="261" w:name="_Toc98147822"/>
      <w:bookmarkStart w:id="262" w:name="_Toc740"/>
      <w:bookmarkStart w:id="263" w:name="_Toc73958620"/>
      <w:bookmarkStart w:id="264" w:name="_Toc2499"/>
      <w:bookmarkStart w:id="265" w:name="_Toc3221"/>
      <w:bookmarkStart w:id="266" w:name="_Toc18472"/>
      <w:bookmarkStart w:id="267" w:name="_Toc117"/>
      <w:bookmarkStart w:id="268" w:name="_Toc15619"/>
      <w:bookmarkStart w:id="269" w:name="_Toc12552"/>
      <w:bookmarkStart w:id="270" w:name="_Toc30548"/>
      <w:bookmarkStart w:id="271" w:name="_Toc22782"/>
      <w:bookmarkStart w:id="272" w:name="_Toc16994"/>
      <w:r>
        <w:rPr>
          <w:rFonts w:hint="eastAsia"/>
          <w:szCs w:val="30"/>
        </w:rPr>
        <w:t>数据元细目</w:t>
      </w:r>
      <w:bookmarkEnd w:id="261"/>
      <w:bookmarkEnd w:id="262"/>
      <w:bookmarkEnd w:id="263"/>
      <w:bookmarkEnd w:id="264"/>
      <w:bookmarkEnd w:id="265"/>
      <w:bookmarkEnd w:id="266"/>
      <w:bookmarkEnd w:id="267"/>
      <w:bookmarkEnd w:id="268"/>
      <w:bookmarkEnd w:id="269"/>
      <w:bookmarkEnd w:id="270"/>
      <w:bookmarkEnd w:id="271"/>
      <w:bookmarkEnd w:id="272"/>
    </w:p>
    <w:p>
      <w:pPr>
        <w:pStyle w:val="4"/>
        <w:numPr>
          <w:ilvl w:val="0"/>
          <w:numId w:val="29"/>
        </w:numPr>
        <w:tabs>
          <w:tab w:val="left" w:pos="709"/>
          <w:tab w:val="left" w:pos="993"/>
        </w:tabs>
        <w:rPr>
          <w:rFonts w:ascii="仿宋" w:hAnsi="仿宋" w:eastAsia="仿宋"/>
        </w:rPr>
      </w:pPr>
      <w:bookmarkStart w:id="273" w:name="_Toc23988"/>
      <w:bookmarkStart w:id="274" w:name="_Toc73958621"/>
      <w:bookmarkStart w:id="275" w:name="_Toc30224"/>
      <w:bookmarkStart w:id="276" w:name="_Toc5601"/>
      <w:bookmarkStart w:id="277" w:name="_Toc32300"/>
      <w:bookmarkStart w:id="278" w:name="_Toc25953"/>
      <w:bookmarkStart w:id="279" w:name="_Toc3572"/>
      <w:r>
        <w:rPr>
          <w:rFonts w:hint="eastAsia" w:ascii="仿宋" w:hAnsi="仿宋" w:eastAsia="仿宋"/>
        </w:rPr>
        <w:t>公司治理</w:t>
      </w:r>
      <w:bookmarkEnd w:id="273"/>
      <w:bookmarkEnd w:id="274"/>
      <w:bookmarkEnd w:id="275"/>
      <w:bookmarkEnd w:id="276"/>
      <w:bookmarkEnd w:id="277"/>
      <w:bookmarkEnd w:id="278"/>
      <w:bookmarkEnd w:id="279"/>
    </w:p>
    <w:tbl>
      <w:tblPr>
        <w:tblStyle w:val="25"/>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490"/>
        <w:gridCol w:w="2695"/>
        <w:gridCol w:w="2125"/>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490"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695"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125"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184"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001001</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流水号</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报送数据时系统自动生成的编号。统一社会信用代码+日期（YYYYMMDD）+10位流水，流水号是每天的流水号，每天都是从‘0000000001’开始。其中日期为上报数据时当前的系统日期。</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36!n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001002</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机构名称</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机构名称，对于工商注册机构，名称需与工商注册中的名称一致；对于非工商注册的机构，名称需与审核登记的批准文件中的名称一致。</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001003</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机构代码</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境内法人机构填写统一社会信用代码。境外法人机构填写企业注册码、税务号等有效代码。如无上述代码，机构可自行定义。</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001004</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LEI编码</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全球法人识别编码（LEI）是按照国际标准化组织的《金融服务法人机构识别编码》（ISO17442：2012）标准为法人机构分配的由20位数字和字母组成的唯一编码，可以用于标识与国际金融交易相关联的法人机构。</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20!an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001005</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日期</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年月日，格式YYYYMMDD。</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8!n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001006</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批复文号</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批复文件的文号。</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001007</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经营范围</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应与工商注册中的经营范围一致。</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001008</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金额</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默认人民币，单位元。在指定货币代码时，为相应的币种数额。</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20n(4)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001009</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地址</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详细地址信息，应包括具体的村镇、街道名称及门牌号码等。如填写工商注册地址，应以工商注册信息中的注册地为准。</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001010</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是否标志</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是否标志位。</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参照《业务代码表》“是否判断代码”，编号CD000005。</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001011</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姓名</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应与个人有效证件上的姓名保持一致。</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001012</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利率/费率/汇率（六位）</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精度保留到小数点后六位，如0.0001%应填0.000001。</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22n(6)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001013</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数量（整数）</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人数、次数、天数、月数、年数等可量化数据。</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001014</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实际控制人类型</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实际控制人类型。</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参照《业务代码表》“实际控制人类型代码”，编号CD030012。</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001015</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名称</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识别某一个体或群体(人或事物)的专属名词</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001016</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名称集合</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拼接多个名称，需用英文分号“;”（ASCII码0x3B）隔开。</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001017</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行政区划</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行政区划。</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参照《业务代码表》“行政区划代码”，编号CD000003。</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6!n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001018</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证件号码</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证件号码。</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001019</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证件类型</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证件类型名称。</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参照《业务代码表》“证件类型代码”，编号CD000010。</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001020</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股东持股类型</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根据持股比例、资质条件和对保险公司经营管理的影响，根据《保险公司股权管理办法》（保监会令〔2018〕5号 ）保险公司股东分为以下四类： 01-财务Ⅰ类股东，02-财务Ⅱ类股东 ，03-战略类股东 ，04-控制类股东。</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参照《业务代码表》“股东类型代码”，编号CD030005。</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001021</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股东类别</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按照股东自然人或机构属性。</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参照《业务代码表》“股东类别代码”，编号CD030006。</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001022</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国家地区</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国家地区。《GB/T 2659 世界各国和地区名称代码》定义的三字符代码，如CHN。</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参照《业务代码表》“国家地区”，编号CD000001。</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3!an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001023</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标识号</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记录相关事件、单据、参与方或实物的唯一标识。</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001024</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行业类型</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行业类型名称。</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参照《业务代码表》“行业类型代码”，编号CD000004。</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001025</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序号</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顺序号。</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001026</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持股类型</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持股类型分别为：绝对控股，指持有股权50%及以上，或者出资额享有的表决权足以对该企业股东（大）会的决议产生控制性影响；相对控制，指持有股权30%及以上，但不足50%，或者出资额享有的表决权足以对该企业股东（大）会的决议产生重大影响；一般控制，指持有股权5%及以上，但不足30%；无控制关系，指持有股权不足5%。</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参照《业务代码表》“持股类型代码”，编号CD030007。</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001027</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管理模式</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管理模式。</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参照《业务代码表》“管理模式代码”，编号CD030010。</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001028</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员工编制</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员工编制。</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参照《业务代码表》“员工编制代码”，编号CD030009。</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001029</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员工状态</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员工状态。</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参照《业务代码表》“员工状态代码”，编号CD030001。</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001030</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性别</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性别。</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参照《业务代码表》“性别代码”，编号CD000006。</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001031</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政治面貌</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政治面貌。</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参照《业务代码表》“政治面貌代码”，编号CD000009。</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001032</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电话号码</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固定及移动通讯电话号码。固定电话号码应由“国际长途区号+国内长途区号+电话号码”组成，国内电话可省略国际长途区号。移动通讯设备的号码，一般为手机号码，应由“国家代码”+“电话号码”组成，国内手机号可省略国家代码。</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001033</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学历</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学历。</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参照《业务代码表》“学历代码”，编号CD000008。</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001034</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员工代码</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员工代码。</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001035</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问责原因</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机构被问责员工的主要违法违纪事实和原由。</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001036</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外部公司任职</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董事、监事、高管在外部公司任职情况。</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001037</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履职评价结果</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董事、监事、高管的最近年度履职评价结果。</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参照《业务代码表》“履职评价结果代码”，编号CD030011。</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001038</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处罚类型</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董事、监事、高管处罚类型。</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参照《业务代码表》“处罚类型代码”，编号CD030002。</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001039</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处罚原因</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处罚原因的文字描述，若有处罚决定书，填写处罚决定书内容。</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001040</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数量（小数）</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份数、股数等可量化数据。</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18n(2)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001041</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年月类型</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年月类型，YYYYMM。</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6!n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001042</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保险许可证机构编码</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保险许可证机构编码。</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001043</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董监高类型</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董监高类型。</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参照《业务代码表》“董监高类型代码”，编号CD030003。</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001044</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增减资标识</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增减资标识。</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参照《业务代码表》“增减资标识代码”，编号CD010008。</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001045</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与前一层的关系</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与前一层的关系。</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枚举值为“对前一层持有；被前一层持有”。</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001047</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民族</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民族名称。</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参照《业务代码表》“民族代码”，编号CD000002。</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001048</w:t>
            </w:r>
          </w:p>
        </w:tc>
        <w:tc>
          <w:tcPr>
            <w:tcW w:w="1490" w:type="dxa"/>
            <w:shd w:val="clear" w:color="auto" w:fill="auto"/>
            <w:vAlign w:val="center"/>
          </w:tcPr>
          <w:p>
            <w:pPr>
              <w:widowControl/>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党内职务</w:t>
            </w:r>
          </w:p>
        </w:tc>
        <w:tc>
          <w:tcPr>
            <w:tcW w:w="2695" w:type="dxa"/>
            <w:shd w:val="clear" w:color="auto" w:fill="auto"/>
            <w:vAlign w:val="center"/>
          </w:tcPr>
          <w:p>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党内职务名称。</w:t>
            </w:r>
          </w:p>
        </w:tc>
        <w:tc>
          <w:tcPr>
            <w:tcW w:w="2125" w:type="dxa"/>
            <w:shd w:val="clear" w:color="auto" w:fill="auto"/>
            <w:vAlign w:val="center"/>
          </w:tcPr>
          <w:p>
            <w:pPr>
              <w:widowControl/>
              <w:spacing w:line="240" w:lineRule="auto"/>
              <w:ind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参照《业务代码表》“党内职务代码”，编号CD030004。</w:t>
            </w:r>
          </w:p>
        </w:tc>
        <w:tc>
          <w:tcPr>
            <w:tcW w:w="1184" w:type="dxa"/>
            <w:shd w:val="clear" w:color="auto" w:fill="auto"/>
            <w:vAlign w:val="center"/>
          </w:tcPr>
          <w:p>
            <w:pPr>
              <w:widowControl/>
              <w:spacing w:line="240" w:lineRule="auto"/>
              <w:ind w:firstLine="0" w:firstLineChars="0"/>
              <w:jc w:val="center"/>
              <w:rPr>
                <w:rFonts w:hint="eastAsia"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4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0010</w:t>
            </w:r>
            <w:r>
              <w:rPr>
                <w:rFonts w:ascii="宋体" w:hAnsi="宋体" w:eastAsia="宋体" w:cs="宋体"/>
                <w:kern w:val="0"/>
                <w:sz w:val="21"/>
                <w:szCs w:val="21"/>
              </w:rPr>
              <w:t>49</w:t>
            </w:r>
          </w:p>
        </w:tc>
        <w:tc>
          <w:tcPr>
            <w:tcW w:w="1490"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比例/比率</w:t>
            </w:r>
          </w:p>
        </w:tc>
        <w:tc>
          <w:tcPr>
            <w:tcW w:w="269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百分比类数据，精度保留到小数点后两位，如</w:t>
            </w:r>
            <w:r>
              <w:rPr>
                <w:rFonts w:ascii="宋体" w:hAnsi="宋体" w:eastAsia="宋体" w:cs="宋体"/>
                <w:kern w:val="0"/>
                <w:sz w:val="21"/>
                <w:szCs w:val="21"/>
              </w:rPr>
              <w:t>12.34</w:t>
            </w:r>
            <w:r>
              <w:rPr>
                <w:rFonts w:hint="eastAsia" w:ascii="宋体" w:hAnsi="宋体" w:eastAsia="宋体" w:cs="宋体"/>
                <w:kern w:val="0"/>
                <w:sz w:val="21"/>
                <w:szCs w:val="21"/>
              </w:rPr>
              <w:t>%应填</w:t>
            </w:r>
            <w:r>
              <w:rPr>
                <w:rFonts w:ascii="宋体" w:hAnsi="宋体" w:eastAsia="宋体" w:cs="宋体"/>
                <w:kern w:val="0"/>
                <w:sz w:val="21"/>
                <w:szCs w:val="21"/>
              </w:rPr>
              <w:t>12.34</w:t>
            </w:r>
            <w:r>
              <w:rPr>
                <w:rFonts w:hint="eastAsia" w:ascii="宋体" w:hAnsi="宋体" w:eastAsia="宋体" w:cs="宋体"/>
                <w:kern w:val="0"/>
                <w:sz w:val="21"/>
                <w:szCs w:val="21"/>
              </w:rPr>
              <w:t>。</w:t>
            </w:r>
          </w:p>
        </w:tc>
        <w:tc>
          <w:tcPr>
            <w:tcW w:w="2125"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184"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cs="宋体"/>
                <w:kern w:val="0"/>
                <w:sz w:val="21"/>
                <w:szCs w:val="21"/>
              </w:rPr>
              <w:t>6</w:t>
            </w:r>
            <w:r>
              <w:rPr>
                <w:rFonts w:hint="eastAsia" w:ascii="宋体" w:hAnsi="宋体" w:eastAsia="宋体" w:cs="宋体"/>
                <w:kern w:val="0"/>
                <w:sz w:val="21"/>
                <w:szCs w:val="21"/>
              </w:rPr>
              <w:t>n(</w:t>
            </w:r>
            <w:r>
              <w:rPr>
                <w:rFonts w:ascii="宋体" w:hAnsi="宋体" w:eastAsia="宋体" w:cs="宋体"/>
                <w:kern w:val="0"/>
                <w:sz w:val="21"/>
                <w:szCs w:val="21"/>
              </w:rPr>
              <w:t>2</w:t>
            </w:r>
            <w:r>
              <w:rPr>
                <w:rFonts w:hint="eastAsia" w:ascii="宋体" w:hAnsi="宋体" w:eastAsia="宋体" w:cs="宋体"/>
                <w:kern w:val="0"/>
                <w:sz w:val="21"/>
                <w:szCs w:val="21"/>
              </w:rPr>
              <w:t>)</w:t>
            </w:r>
          </w:p>
        </w:tc>
      </w:tr>
    </w:tbl>
    <w:p>
      <w:pPr>
        <w:pStyle w:val="4"/>
        <w:numPr>
          <w:ilvl w:val="0"/>
          <w:numId w:val="29"/>
        </w:numPr>
        <w:tabs>
          <w:tab w:val="left" w:pos="709"/>
          <w:tab w:val="left" w:pos="993"/>
        </w:tabs>
        <w:rPr>
          <w:rFonts w:ascii="仿宋" w:hAnsi="仿宋" w:eastAsia="仿宋"/>
        </w:rPr>
      </w:pPr>
      <w:bookmarkStart w:id="280" w:name="_Toc27108"/>
      <w:bookmarkStart w:id="281" w:name="_Toc23498"/>
      <w:bookmarkStart w:id="282" w:name="_Toc32295"/>
      <w:bookmarkStart w:id="283" w:name="_Toc18822"/>
      <w:bookmarkStart w:id="284" w:name="_Toc73958622"/>
      <w:bookmarkStart w:id="285" w:name="_Toc8178"/>
      <w:bookmarkStart w:id="286" w:name="_Toc19200"/>
      <w:r>
        <w:rPr>
          <w:rFonts w:hint="eastAsia" w:ascii="仿宋" w:hAnsi="仿宋" w:eastAsia="仿宋"/>
        </w:rPr>
        <w:t>公司财务</w:t>
      </w:r>
      <w:bookmarkEnd w:id="280"/>
      <w:bookmarkEnd w:id="281"/>
      <w:bookmarkEnd w:id="282"/>
      <w:bookmarkEnd w:id="283"/>
      <w:bookmarkEnd w:id="284"/>
      <w:bookmarkEnd w:id="285"/>
      <w:bookmarkEnd w:id="286"/>
    </w:p>
    <w:tbl>
      <w:tblPr>
        <w:tblStyle w:val="25"/>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59"/>
        <w:gridCol w:w="2693"/>
        <w:gridCol w:w="2103"/>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271"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559"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693"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103"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208" w:type="dxa"/>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002001</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币种</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货币和资金的币种代码。例如：CNY、USD等。</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参照《业务代码表》“币种代码”，编号CD000011。</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3!a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002002</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会计期间</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归属期间。格式：</w:t>
            </w:r>
            <w:r>
              <w:rPr>
                <w:rFonts w:ascii="宋体" w:hAnsi="宋体" w:eastAsia="宋体" w:cs="宋体"/>
                <w:kern w:val="0"/>
                <w:sz w:val="21"/>
                <w:szCs w:val="21"/>
              </w:rPr>
              <w:t>YYYYMM。</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6!n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002003</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会计核算方法</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会计核算方法。</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参照《业务代码表》“会计核算方法代码”，编号CD010002。</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002004</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会计科目类型</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会计科目分类：“1资产；2负债；3所有者权益；4损益；5资产负债共同类；6表外；7其他”，填报数字。</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参照《业务代码表》“会计科目类型代码”，编号CD010003。</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002005</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会计科目级次</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总账会计科目编号在科目结构中所对应的级次：“1-一级科目；2-二级科目；3-三级科目；4-四级科目；5-五级科目；6-六级科目”，以此类推，填报数字。</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枚举值为“1；2；3；4；5；6”，以此类推。</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002006</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会计科目编号</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机构实际使用的会计科目编码。</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3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002007</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会计科目名称</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机构实际使用的会计科目编码对应的名称。</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002008</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银行账户类型</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银行账户类型，填报中文描述。</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参照《业务代码表》“银行账户类型代码”，编号CD010005。</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002009</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银行账户状态</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保险公司银行账户的目前状态。</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参照《业务代码表》“银行账户状态代码”，编号CD010006。</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002010</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资金标识</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资金标识。</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参照《业务代码表》“资金标识代码”，编号CD010007。</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002011</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摘要</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用于简明扼要说明相关事件、状况的内容。</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002013</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凭证编号</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会计凭证编号。</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002014</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会计科目体系代码</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会计科目体系代码，应具有唯一标识。</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002015</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会计科目体系名称</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会计科目体系名称，应具有唯一标识。</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002016</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报送周期</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报送周期。</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参照《业务代码表》“报送周期类型代码”，编号CD010004。</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2!</w:t>
            </w:r>
            <w:r>
              <w:rPr>
                <w:rFonts w:ascii="宋体" w:hAnsi="宋体" w:eastAsia="宋体" w:cs="宋体"/>
                <w:kern w:val="0"/>
                <w:sz w:val="21"/>
                <w:szCs w:val="21"/>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002017</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境内外标识</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境内外标识。</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参照《业务代码表》“境内外标识代码”，编号CD000012。</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002018</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银行账户代码</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银行账户代码。</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002019</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银行账户名称</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银行账户名称。</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002020</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投资账户代码</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投资账户代码。</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002021</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投资账户名称</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投资账户名称。</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002022</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余额</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默认人民币，单位元。在指定货币代码时，为相应的币种数额。</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20n(4)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271"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002023</w:t>
            </w:r>
          </w:p>
        </w:tc>
        <w:tc>
          <w:tcPr>
            <w:tcW w:w="1559"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发生额</w:t>
            </w:r>
          </w:p>
        </w:tc>
        <w:tc>
          <w:tcPr>
            <w:tcW w:w="269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默认人民币，单位元。在指定货币代码时，为相应的币种数额。</w:t>
            </w:r>
          </w:p>
        </w:tc>
        <w:tc>
          <w:tcPr>
            <w:tcW w:w="2103" w:type="dxa"/>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08" w:type="dxa"/>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20n(4)</w:t>
            </w:r>
          </w:p>
        </w:tc>
      </w:tr>
    </w:tbl>
    <w:p>
      <w:pPr>
        <w:pStyle w:val="4"/>
        <w:numPr>
          <w:ilvl w:val="0"/>
          <w:numId w:val="29"/>
        </w:numPr>
        <w:tabs>
          <w:tab w:val="left" w:pos="709"/>
          <w:tab w:val="left" w:pos="993"/>
        </w:tabs>
        <w:rPr>
          <w:rFonts w:ascii="仿宋" w:hAnsi="仿宋" w:eastAsia="仿宋"/>
        </w:rPr>
      </w:pPr>
      <w:bookmarkStart w:id="287" w:name="_Toc5656"/>
      <w:bookmarkStart w:id="288" w:name="_Toc30071"/>
      <w:bookmarkStart w:id="289" w:name="_Toc73958623"/>
      <w:bookmarkStart w:id="290" w:name="_Toc32304"/>
      <w:bookmarkStart w:id="291" w:name="_Toc24686"/>
      <w:bookmarkStart w:id="292" w:name="_Toc22006"/>
      <w:bookmarkStart w:id="293" w:name="_Toc10328"/>
      <w:r>
        <w:rPr>
          <w:rFonts w:hint="eastAsia" w:ascii="仿宋" w:hAnsi="仿宋" w:eastAsia="仿宋"/>
        </w:rPr>
        <w:t>保险集团（控股）公司业务</w:t>
      </w:r>
      <w:bookmarkEnd w:id="287"/>
      <w:bookmarkEnd w:id="288"/>
      <w:bookmarkEnd w:id="289"/>
      <w:bookmarkEnd w:id="290"/>
      <w:bookmarkEnd w:id="291"/>
      <w:bookmarkEnd w:id="292"/>
      <w:bookmarkEnd w:id="293"/>
    </w:p>
    <w:tbl>
      <w:tblPr>
        <w:tblStyle w:val="25"/>
        <w:tblW w:w="8834" w:type="dxa"/>
        <w:tblInd w:w="0" w:type="dxa"/>
        <w:tblLayout w:type="fixed"/>
        <w:tblCellMar>
          <w:top w:w="0" w:type="dxa"/>
          <w:left w:w="108" w:type="dxa"/>
          <w:bottom w:w="0" w:type="dxa"/>
          <w:right w:w="108" w:type="dxa"/>
        </w:tblCellMar>
      </w:tblPr>
      <w:tblGrid>
        <w:gridCol w:w="1271"/>
        <w:gridCol w:w="1558"/>
        <w:gridCol w:w="2694"/>
        <w:gridCol w:w="2053"/>
        <w:gridCol w:w="1258"/>
      </w:tblGrid>
      <w:tr>
        <w:tblPrEx>
          <w:tblCellMar>
            <w:top w:w="0" w:type="dxa"/>
            <w:left w:w="108" w:type="dxa"/>
            <w:bottom w:w="0" w:type="dxa"/>
            <w:right w:w="108" w:type="dxa"/>
          </w:tblCellMar>
        </w:tblPrEx>
        <w:trPr>
          <w:trHeight w:val="290" w:hRule="atLeast"/>
        </w:trPr>
        <w:tc>
          <w:tcPr>
            <w:tcW w:w="1271"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558"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694"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053"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258"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003002</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资产代码</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填写确权登记等有关机构登记的资产代码，若无填写机构自定义代码。</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003003</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统计科目编号</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统计科目编号，填报代码。</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参照《业务代码表》“资产负债统计科目代码”，编号CD010010。</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003005</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资金流向</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资金流向。</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参照《业务代码表》“资金流向代码”，编号CD010012。</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n..30</w:t>
            </w:r>
          </w:p>
        </w:tc>
      </w:tr>
      <w:tr>
        <w:tblPrEx>
          <w:tblCellMar>
            <w:top w:w="0" w:type="dxa"/>
            <w:left w:w="108" w:type="dxa"/>
            <w:bottom w:w="0" w:type="dxa"/>
            <w:right w:w="108" w:type="dxa"/>
          </w:tblCellMar>
        </w:tblPrEx>
        <w:trPr>
          <w:trHeight w:val="82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003006</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会计分类</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会计分类。</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参照《业务代码表》“会计分类代码”，编号CD010014。</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003007</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备注</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用于说明相关事件、状况的具体内容。</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anc..2000</w:t>
            </w:r>
          </w:p>
        </w:tc>
      </w:tr>
      <w:tr>
        <w:tblPrEx>
          <w:tblCellMar>
            <w:top w:w="0" w:type="dxa"/>
            <w:left w:w="108" w:type="dxa"/>
            <w:bottom w:w="0" w:type="dxa"/>
            <w:right w:w="108" w:type="dxa"/>
          </w:tblCellMar>
        </w:tblPrEx>
        <w:trPr>
          <w:trHeight w:val="82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003008</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资产名称</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资产名称。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003009</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交易市场类型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交易市场类型，填报代码。</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参照《业务代码表》“交易市场类型代码”，编号CD010011。</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2!n</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003010</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五级分类</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五级分类。</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参照《业务代码表》“五级分类代码”，编号CD010015。</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82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003011</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估值方法</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估值方法。</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参照《业务代码表》“估值方法代码”，编号CD010013。</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003012</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利息</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默认人民币，单位元。在指定货币代码时，为相应的币种数额。</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20n(4)</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003013</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机构类型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机构类型，填报中文描述。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color w:val="000000"/>
                <w:kern w:val="0"/>
                <w:sz w:val="21"/>
                <w:szCs w:val="21"/>
              </w:rPr>
              <w:t>参照</w:t>
            </w:r>
            <w:r>
              <w:rPr>
                <w:rFonts w:hint="eastAsia" w:ascii="宋体" w:hAnsi="宋体" w:eastAsia="宋体" w:cs="宋体"/>
                <w:kern w:val="0"/>
                <w:sz w:val="21"/>
                <w:szCs w:val="21"/>
              </w:rPr>
              <w:t>《业务代码表》“机构类型代码”，编号CD000007。</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003014</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核算方式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核算方式。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枚举值为“净值型；非净值型”。</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003015</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管理方式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管理方式。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枚举值为“主动管理；非主动管理”。</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003016</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产品代码</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填写确权登记等有关机构登记的产品代码，若无填写机构自定义代码。</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003017</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产品名称</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填写确权登记等有关机构登记的产品名称，若无填写合同上的产品名称。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003018</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资管产品类型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资管产品类型。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枚举值为“固定收益类；权益类；商品及金融衍生品类；混合类”。</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003019</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结构化属性</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结构化属性。</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枚举值为“分级；非分级”。</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003020</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产品期限</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合同约定期限。</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18n(2)</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003021</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期限单位</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期限单位。</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枚举值为“日；月；年”。</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anc..4</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003022</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含权结构</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含权期限结构。</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003023</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选择权类型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选择权类型。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枚举值为“投资人选择权；融资人选择权；双向选择权”。</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003024</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还本付息方式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还本付息方式，填报中文描述。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参照《业务代码表》“还本付息方式代码”，编号CD040001。</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003025</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付息周期</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付息周期。</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枚举值为“按月；按季；按半年；按年；其他”。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003026</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产品类型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产品类型，填报中文描述。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参照《业务代码表》“产品类型代码”，编号CD010001。</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003027</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所属分级</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持有人持有产品时所属分级，填报中文描述。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参照《业务代码表》“产品分级类别代码”，编号CD040002。</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003028</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政策标签集合</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政策标签，填报中文描述，可多选，需用英文分号“;”（ASCII码0x3B）隔开。</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参照《业务代码表》“政策标签代码”，编号CD040005。</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003029</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股权退出方式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股权退出方式。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枚举值为“回购；清算；转让第三方；IPO；并购；其他”。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003030</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基础资产类别</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基础资产类别。</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枚举值为“单一项目；一组项目”。</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003031</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基金组织形式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基金组织形式。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枚举值为“公司型；契约型；合伙型；其他”。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003032</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投资方向</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投资方向。</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枚举值为“综合；先进制造；能源；建筑；交通；电子信息；金融；房地产；医疗健康；教育文化；其他”。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003033</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运行方式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运行方式。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枚举值为“开放式；封闭式”。</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10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003034</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基础资产类型一</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基础资产类型一。</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枚举值为“融资租赁；金融租赁；保理债权；小额贷款；应收账款；基础设施收费权；重组债权；股权；供应链资产；信托资产；保单；其他”。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003035</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基础资产类型五</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基础资产类型五。</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枚举值为“企业贷款；汽车贷款；个人住房抵押贷款；其他”。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131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003036</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基金分类</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基金分类。</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枚举值为“私募证券投资基金；私募证券类FOF基金；私募股权投资基金；私募股权投资类FOF基金；创业投资基金；创业投资类FOF基金；其他类别私募基金；其他类别私募FOF基金”。</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003037</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投资阶段</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投资阶段。</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枚举值为“天使投资；初创期投资；成长期投资；IPO前投资；并购投资；多个阶段投资；全阶段投资”。</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003038</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基金状态</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基金状态。</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枚举值为“投资期；退出期；清算期；已清盘；其他”。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003039</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延期原因</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如有延期计划或已发生延期，请注明原因。</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003040</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发行方式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发行方式。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枚举值为“公开；不公开”。</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003041</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信用评级等级</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信用评级等级，填报中文描述。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参照《业务代码表》“信用评级等级代码”，编号CD040003。</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003042</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收益形式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收益形式。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枚举值为“固定费率；固定费用；浮动费率；其他费率”。</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003043</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私募投资基金退出方式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私募投资基金退出方式。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枚举值为“份额转让，基金清算，赎回，其他”。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003044</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年付息频率</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年付息频率，0时为到期一次还本付息；1年；2半年；4季；12月。</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枚举值为“0；1；2；4；12”。</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n..2</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003045</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信托产品名称</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信托计划全称。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003046</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产品登记编号</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信托产品登记编码是指在中国信登所登记的信托产品唯一编码。</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an..50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003047</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信托产品代码</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信托公司内部产品代码或编号，信托公司自定义，信托产品的内部唯一编号。</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003048</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信托产品存续标识</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信托产品存续标识。</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枚举值为“存续(正常)；存续(展期)；存续(逾期)；终止”。</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003049</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信托功能分类</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信托功能分类。</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枚举值为“融资类；投资类；事务管理类”。</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35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003050</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信托财产运用方式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信托财产运用方式。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股票投资；债券投资；金融衍生品；信托贷款；信贷资产转让；资产收（受）益权；资产支持证券化；准资产支持证券化；特定目的载体份额；应收账款转让；其他非标准化债权投资；其他股权投资；非私募基金类有限合伙份额；固定资产投资；另类资产投资；出售；出租；持有并管理；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003051</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信托计划管理方式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信托计划管理方式。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枚举值为“单一；集合”。</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18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003052</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私募基金管理方式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参与是指仅作为基金的出资人，不实际控制基金管理人；实际控制是指为基金管理人的第一大股东或出资人，并通过投资关系、协议或者其他安排，能够实际支配基金管理人行为。。</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olor w:val="000000"/>
                <w:sz w:val="21"/>
                <w:szCs w:val="21"/>
              </w:rPr>
              <w:t>枚举值为“参与；实际控制”。</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003053</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投向行业</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投向行业。</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枚举值为“基础设施；工商企业；房地产；金融机构；证券类；其他”。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003054</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信用增级安排集合</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信用增级安排名称，可多选，需用英文分号“;”（ASCII码0x3B）隔开。</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枚举值为“无；保证担保；抵押担保；质押担保；流动性支持；回购承诺；差额补足；其他”。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003055</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收益率计提方式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收益率计提方式.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枚举值为“固定收益率；浮动收益率；固定+浮动收益率；其他”。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003056</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合同编号</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合同编号。</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003057</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面积</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土地或物体的面积。</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18n(2)</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003058</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存款证实书编号</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存款银行给出的存款证实书编号。</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003059</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存款证实书名称</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开户银行全称+发行年份+存款类型；参照银行间市场规则。</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003060</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存款类型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存款类型。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枚举值为“定期存款；协议存款；结构性存款；同业存款；大额存款”。</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003061</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利率类型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利率类型。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枚举值为“浮动；固定；结构化；其他”。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003062</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计息基准</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计息基准。</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枚举值为“实际/365；实际/实际；实际/360；30/360”。</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003063</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质押用途</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质押用途。</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枚举值为“融资；担保；委托贷款”。</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003064</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收益类型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收益类型。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枚举值为“保本保收益类；保本浮动收益类；非保本浮动收益类；其他”。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003065</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风险评级</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风险评级。</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枚举值为“一级；二级；三级；四级；五级”。</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003066</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持有状态</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持有状态。</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枚举值为“持有；退出”。</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003067</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资金运用</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文字描述，如用于某项目或投资某企业债。</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003068</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利率浮动形式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利率浮动形式。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枚举值为“即时；按月；按季度；按年”。</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003070</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标的企业控股股东性质</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标的企业控股股东性质，填报中文描述。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枚举值为“中央国有企业；地方国有企业；民营企业；外资企业；公众公司；其他”。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003071</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企业类型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企业类型。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枚举值为“保险类企业；非保险类金融企业；能源企业；资源企业；保险业务相关企业；其他”。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003072</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投资类型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投资类型。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枚举值为“自用性；投资性”。</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003073</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项目状态</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项目状态。</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枚举值为“已建成；在建工程；土地”。</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003074</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不动产类型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根据土地用途分类，具体填报标准参照物业土地证“用途”栏内容（标识库）。</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anc..1000</w:t>
            </w:r>
          </w:p>
        </w:tc>
      </w:tr>
      <w:tr>
        <w:tblPrEx>
          <w:tblCellMar>
            <w:top w:w="0" w:type="dxa"/>
            <w:left w:w="108" w:type="dxa"/>
            <w:bottom w:w="0" w:type="dxa"/>
            <w:right w:w="108" w:type="dxa"/>
          </w:tblCellMar>
        </w:tblPrEx>
        <w:trPr>
          <w:trHeight w:val="131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003075</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物业类型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物业类型。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枚举值为“养老不动产；医疗；汽车服务不动产；城市商住综合体；城市商业；其他”，其中，城市商业包括写字楼、商业公寓、商铺、会议会展中心、物流仓库等。</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003076</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基准利率</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基准利率的类型，填报中文描述。</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参照《业务代码表》“基准利率代码”，编号CD040004。</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003077</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利差</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利差，单位为BP</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003078</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理财产品发行人类型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理财产品发行人类型。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枚举值为“银行；银行理财子公司”。</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003079</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融资人类型</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融资人类型。</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枚举值为“自然人；个体工商户；广义政府；非金融企业；金融机构（实体）；特定目的载体；境外”。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003080</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信托计划退出方式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信托计划退出方式。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枚举值为“正常持有到期；提前赎回；转让第三方；信托计划提前终止；其他”。</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003081</w:t>
            </w:r>
          </w:p>
        </w:tc>
        <w:tc>
          <w:tcPr>
            <w:tcW w:w="15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控股方式</w:t>
            </w:r>
          </w:p>
        </w:tc>
        <w:tc>
          <w:tcPr>
            <w:tcW w:w="26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控股方式。</w:t>
            </w:r>
          </w:p>
        </w:tc>
        <w:tc>
          <w:tcPr>
            <w:tcW w:w="205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cs="宋体"/>
                <w:kern w:val="0"/>
                <w:sz w:val="21"/>
                <w:szCs w:val="21"/>
              </w:rPr>
              <w:t>枚举值为“绝对控股，相对控股，协议控股，其他，非控股”。</w:t>
            </w:r>
          </w:p>
        </w:tc>
        <w:tc>
          <w:tcPr>
            <w:tcW w:w="1258"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bl>
    <w:p>
      <w:pPr>
        <w:pStyle w:val="4"/>
        <w:numPr>
          <w:ilvl w:val="0"/>
          <w:numId w:val="29"/>
        </w:numPr>
        <w:tabs>
          <w:tab w:val="left" w:pos="709"/>
          <w:tab w:val="left" w:pos="993"/>
        </w:tabs>
        <w:rPr>
          <w:rFonts w:ascii="仿宋" w:hAnsi="仿宋" w:eastAsia="仿宋"/>
        </w:rPr>
      </w:pPr>
      <w:bookmarkStart w:id="294" w:name="_Toc16543"/>
      <w:bookmarkStart w:id="295" w:name="_Toc73958624"/>
      <w:bookmarkStart w:id="296" w:name="_Toc9131"/>
      <w:bookmarkStart w:id="297" w:name="_Toc4014"/>
      <w:bookmarkStart w:id="298" w:name="_Toc5338"/>
      <w:bookmarkStart w:id="299" w:name="_Toc17566"/>
      <w:bookmarkStart w:id="300" w:name="_Toc24310"/>
      <w:r>
        <w:rPr>
          <w:rFonts w:hint="eastAsia" w:ascii="仿宋" w:hAnsi="仿宋" w:eastAsia="仿宋"/>
        </w:rPr>
        <w:t>保险集团（控股）公司关联交易</w:t>
      </w:r>
      <w:bookmarkEnd w:id="294"/>
      <w:bookmarkEnd w:id="295"/>
      <w:bookmarkEnd w:id="296"/>
      <w:bookmarkEnd w:id="297"/>
      <w:bookmarkEnd w:id="298"/>
      <w:bookmarkEnd w:id="299"/>
      <w:bookmarkEnd w:id="300"/>
    </w:p>
    <w:tbl>
      <w:tblPr>
        <w:tblStyle w:val="25"/>
        <w:tblW w:w="8834" w:type="dxa"/>
        <w:tblInd w:w="0" w:type="dxa"/>
        <w:tblLayout w:type="fixed"/>
        <w:tblCellMar>
          <w:top w:w="0" w:type="dxa"/>
          <w:left w:w="108" w:type="dxa"/>
          <w:bottom w:w="0" w:type="dxa"/>
          <w:right w:w="108" w:type="dxa"/>
        </w:tblCellMar>
      </w:tblPr>
      <w:tblGrid>
        <w:gridCol w:w="1271"/>
        <w:gridCol w:w="1558"/>
        <w:gridCol w:w="2694"/>
        <w:gridCol w:w="2127"/>
        <w:gridCol w:w="1184"/>
      </w:tblGrid>
      <w:tr>
        <w:tblPrEx>
          <w:tblCellMar>
            <w:top w:w="0" w:type="dxa"/>
            <w:left w:w="108" w:type="dxa"/>
            <w:bottom w:w="0" w:type="dxa"/>
            <w:right w:w="108" w:type="dxa"/>
          </w:tblCellMar>
        </w:tblPrEx>
        <w:trPr>
          <w:trHeight w:val="290" w:hRule="atLeast"/>
        </w:trPr>
        <w:tc>
          <w:tcPr>
            <w:tcW w:w="1271"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558"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694"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127"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184"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57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004001</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产品批准/注册/备案号</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产品批准、注册或备案机构配发的核准编号。如产品报送时产品批准、注册或备案号尚未公布，则填写产品管理人的内部编号，待后续产品批准、注册或备案号公布后及时更新。</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004002</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关联方代码</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关联方代码法人或其他组织的统一社会信用代码等有效代码、自然人对应证件类型的证件号码。</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anc..100</w:t>
            </w:r>
          </w:p>
        </w:tc>
      </w:tr>
      <w:tr>
        <w:tblPrEx>
          <w:tblCellMar>
            <w:top w:w="0" w:type="dxa"/>
            <w:left w:w="108" w:type="dxa"/>
            <w:bottom w:w="0" w:type="dxa"/>
            <w:right w:w="108" w:type="dxa"/>
          </w:tblCellMar>
        </w:tblPrEx>
        <w:trPr>
          <w:trHeight w:val="55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004003</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关联方中间节点类型</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关联方中间节点类型。</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sz w:val="21"/>
                <w:szCs w:val="21"/>
              </w:rPr>
              <w:t>枚举值为</w:t>
            </w:r>
            <w:r>
              <w:rPr>
                <w:rFonts w:hint="cs" w:ascii="宋体" w:hAnsi="宋体" w:eastAsia="宋体"/>
                <w:sz w:val="21"/>
                <w:szCs w:val="21"/>
              </w:rPr>
              <w:t>“</w:t>
            </w:r>
            <w:r>
              <w:rPr>
                <w:rFonts w:hint="eastAsia" w:ascii="宋体" w:hAnsi="宋体" w:eastAsia="宋体"/>
                <w:sz w:val="21"/>
                <w:szCs w:val="21"/>
              </w:rPr>
              <w:t>法人或其他组织；自然人；金融产品等其他</w:t>
            </w:r>
            <w:r>
              <w:rPr>
                <w:rFonts w:hint="cs" w:ascii="宋体" w:hAnsi="宋体" w:eastAsia="宋体"/>
                <w:sz w:val="21"/>
                <w:szCs w:val="21"/>
              </w:rPr>
              <w:t>”</w:t>
            </w:r>
            <w:r>
              <w:rPr>
                <w:rFonts w:hint="eastAsia" w:ascii="宋体" w:hAnsi="宋体" w:eastAsia="宋体"/>
                <w:sz w:val="21"/>
                <w:szCs w:val="21"/>
              </w:rPr>
              <w:t>。</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5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004004</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与前一层之间权益份额类型</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与前一层之间权益份额类型。</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枚举值为“是，对前一层持有；是，被前一层持有；否”。</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004005</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关联交易类型</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关联交易类型。</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sz w:val="21"/>
                <w:szCs w:val="21"/>
              </w:rPr>
              <w:t>参照《业务代码表》“关联交易类型代码”，编号CD020002，填报关联交易类型代码。</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r>
        <w:tblPrEx>
          <w:tblCellMar>
            <w:top w:w="0" w:type="dxa"/>
            <w:left w:w="108" w:type="dxa"/>
            <w:bottom w:w="0" w:type="dxa"/>
            <w:right w:w="108" w:type="dxa"/>
          </w:tblCellMar>
        </w:tblPrEx>
        <w:trPr>
          <w:trHeight w:val="82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004006</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sz w:val="21"/>
                <w:szCs w:val="21"/>
              </w:rPr>
              <w:t>关联交易子类</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sz w:val="21"/>
                <w:szCs w:val="21"/>
              </w:rPr>
              <w:t>关联交易子类。</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hint="eastAsia" w:ascii="宋体" w:hAnsi="宋体" w:eastAsia="宋体"/>
                <w:sz w:val="21"/>
                <w:szCs w:val="21"/>
              </w:rPr>
              <w:t>参照《业务代码表》“关联交易类型代码”，编号CD020002，填报关联交易子类代码。</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r>
        <w:tblPrEx>
          <w:tblCellMar>
            <w:top w:w="0" w:type="dxa"/>
            <w:left w:w="108" w:type="dxa"/>
            <w:bottom w:w="0" w:type="dxa"/>
            <w:right w:w="108" w:type="dxa"/>
          </w:tblCellMar>
        </w:tblPrEx>
        <w:trPr>
          <w:trHeight w:val="29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004007</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定价政策</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交易对价的确定原则及定价方法。</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r>
        <w:tblPrEx>
          <w:tblCellMar>
            <w:top w:w="0" w:type="dxa"/>
            <w:left w:w="108" w:type="dxa"/>
            <w:bottom w:w="0" w:type="dxa"/>
            <w:right w:w="108" w:type="dxa"/>
          </w:tblCellMar>
        </w:tblPrEx>
        <w:trPr>
          <w:trHeight w:val="82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004008</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影响描述</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对填报机构财务状况及经营成果的描述。</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r>
        <w:tblPrEx>
          <w:tblCellMar>
            <w:top w:w="0" w:type="dxa"/>
            <w:left w:w="108" w:type="dxa"/>
            <w:bottom w:w="0" w:type="dxa"/>
            <w:right w:w="108" w:type="dxa"/>
          </w:tblCellMar>
        </w:tblPrEx>
        <w:trPr>
          <w:trHeight w:val="55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004009</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交易标的</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与关联方发生关联交易的对象。</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r>
        <w:tblPrEx>
          <w:tblCellMar>
            <w:top w:w="0" w:type="dxa"/>
            <w:left w:w="108" w:type="dxa"/>
            <w:bottom w:w="0" w:type="dxa"/>
            <w:right w:w="108" w:type="dxa"/>
          </w:tblCellMar>
        </w:tblPrEx>
        <w:trPr>
          <w:trHeight w:val="53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004010</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关联方类型</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关联方类型。</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参照《业务代码表》“关联方类型代码”，编号CD020003。</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r>
        <w:tblPrEx>
          <w:tblCellMar>
            <w:top w:w="0" w:type="dxa"/>
            <w:left w:w="108" w:type="dxa"/>
            <w:bottom w:w="0" w:type="dxa"/>
            <w:right w:w="108" w:type="dxa"/>
          </w:tblCellMar>
        </w:tblPrEx>
        <w:trPr>
          <w:trHeight w:val="82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004011</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达到重大关联交易的情形</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达到重大关联交易的情形。</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枚举值为“单笔达到；累计达到”。</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anc..30</w:t>
            </w:r>
          </w:p>
        </w:tc>
      </w:tr>
      <w:tr>
        <w:tblPrEx>
          <w:tblCellMar>
            <w:top w:w="0" w:type="dxa"/>
            <w:left w:w="108" w:type="dxa"/>
            <w:bottom w:w="0" w:type="dxa"/>
            <w:right w:w="108" w:type="dxa"/>
          </w:tblCellMar>
        </w:tblPrEx>
        <w:trPr>
          <w:trHeight w:val="530" w:hRule="atLeast"/>
        </w:trPr>
        <w:tc>
          <w:tcPr>
            <w:tcW w:w="1271" w:type="dxa"/>
            <w:tcBorders>
              <w:top w:val="single" w:color="auto" w:sz="4" w:space="0"/>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004012</w:t>
            </w:r>
          </w:p>
        </w:tc>
        <w:tc>
          <w:tcPr>
            <w:tcW w:w="1558" w:type="dxa"/>
            <w:tcBorders>
              <w:top w:val="single" w:color="auto" w:sz="4" w:space="0"/>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关联关系类型</w:t>
            </w:r>
          </w:p>
        </w:tc>
        <w:tc>
          <w:tcPr>
            <w:tcW w:w="2694" w:type="dxa"/>
            <w:tcBorders>
              <w:top w:val="single" w:color="auto" w:sz="4" w:space="0"/>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关联关系类型。</w:t>
            </w:r>
          </w:p>
        </w:tc>
        <w:tc>
          <w:tcPr>
            <w:tcW w:w="2127" w:type="dxa"/>
            <w:tcBorders>
              <w:top w:val="single" w:color="auto" w:sz="4" w:space="0"/>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参照《业务代码表》“关联关系代码”，编号CD020001。</w:t>
            </w:r>
          </w:p>
        </w:tc>
        <w:tc>
          <w:tcPr>
            <w:tcW w:w="118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r>
        <w:tblPrEx>
          <w:tblCellMar>
            <w:top w:w="0" w:type="dxa"/>
            <w:left w:w="108" w:type="dxa"/>
            <w:bottom w:w="0" w:type="dxa"/>
            <w:right w:w="108" w:type="dxa"/>
          </w:tblCellMar>
        </w:tblPrEx>
        <w:trPr>
          <w:trHeight w:val="53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004013</w:t>
            </w:r>
          </w:p>
        </w:tc>
        <w:tc>
          <w:tcPr>
            <w:tcW w:w="155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sz w:val="21"/>
                <w:szCs w:val="21"/>
              </w:rPr>
            </w:pPr>
            <w:r>
              <w:rPr>
                <w:rFonts w:hint="eastAsia" w:ascii="宋体" w:hAnsi="宋体" w:eastAsia="宋体"/>
                <w:color w:val="000000"/>
                <w:sz w:val="21"/>
                <w:szCs w:val="21"/>
              </w:rPr>
              <w:t>关联交易价格</w:t>
            </w:r>
          </w:p>
        </w:tc>
        <w:tc>
          <w:tcPr>
            <w:tcW w:w="269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ascii="宋体" w:hAnsi="宋体" w:eastAsia="宋体"/>
                <w:sz w:val="21"/>
                <w:szCs w:val="21"/>
              </w:rPr>
            </w:pPr>
            <w:r>
              <w:rPr>
                <w:rFonts w:hint="eastAsia" w:ascii="宋体" w:hAnsi="宋体" w:eastAsia="宋体"/>
                <w:color w:val="000000"/>
                <w:sz w:val="21"/>
                <w:szCs w:val="21"/>
              </w:rPr>
              <w:t>以单笔关联交易各类业务的交易价格说明为准。单位：元。如交易价格无法数值表示，可文字描述。</w:t>
            </w:r>
          </w:p>
        </w:tc>
        <w:tc>
          <w:tcPr>
            <w:tcW w:w="2127" w:type="dxa"/>
            <w:tcBorders>
              <w:top w:val="single" w:color="auto" w:sz="4" w:space="0"/>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sz w:val="21"/>
                <w:szCs w:val="21"/>
              </w:rPr>
            </w:pPr>
          </w:p>
        </w:tc>
        <w:tc>
          <w:tcPr>
            <w:tcW w:w="118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anc..500</w:t>
            </w:r>
          </w:p>
        </w:tc>
      </w:tr>
    </w:tbl>
    <w:p>
      <w:pPr>
        <w:pStyle w:val="4"/>
        <w:numPr>
          <w:ilvl w:val="0"/>
          <w:numId w:val="29"/>
        </w:numPr>
        <w:tabs>
          <w:tab w:val="left" w:pos="709"/>
          <w:tab w:val="left" w:pos="993"/>
        </w:tabs>
        <w:rPr>
          <w:rFonts w:ascii="仿宋" w:hAnsi="仿宋" w:eastAsia="仿宋"/>
        </w:rPr>
      </w:pPr>
      <w:r>
        <w:rPr>
          <w:rFonts w:hint="eastAsia" w:ascii="仿宋" w:hAnsi="仿宋" w:eastAsia="仿宋"/>
        </w:rPr>
        <w:t>风险管理</w:t>
      </w:r>
    </w:p>
    <w:tbl>
      <w:tblPr>
        <w:tblStyle w:val="25"/>
        <w:tblW w:w="8834" w:type="dxa"/>
        <w:tblInd w:w="0" w:type="dxa"/>
        <w:tblLayout w:type="fixed"/>
        <w:tblCellMar>
          <w:top w:w="0" w:type="dxa"/>
          <w:left w:w="108" w:type="dxa"/>
          <w:bottom w:w="0" w:type="dxa"/>
          <w:right w:w="108" w:type="dxa"/>
        </w:tblCellMar>
      </w:tblPr>
      <w:tblGrid>
        <w:gridCol w:w="1271"/>
        <w:gridCol w:w="1558"/>
        <w:gridCol w:w="2694"/>
        <w:gridCol w:w="2127"/>
        <w:gridCol w:w="1184"/>
      </w:tblGrid>
      <w:tr>
        <w:tblPrEx>
          <w:tblCellMar>
            <w:top w:w="0" w:type="dxa"/>
            <w:left w:w="108" w:type="dxa"/>
            <w:bottom w:w="0" w:type="dxa"/>
            <w:right w:w="108" w:type="dxa"/>
          </w:tblCellMar>
        </w:tblPrEx>
        <w:trPr>
          <w:trHeight w:val="290" w:hRule="atLeast"/>
        </w:trPr>
        <w:tc>
          <w:tcPr>
            <w:tcW w:w="1271" w:type="dxa"/>
            <w:tcBorders>
              <w:top w:val="single" w:color="auto" w:sz="4" w:space="0"/>
              <w:left w:val="single" w:color="auto" w:sz="4" w:space="0"/>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数据元编码</w:t>
            </w:r>
          </w:p>
        </w:tc>
        <w:tc>
          <w:tcPr>
            <w:tcW w:w="1558"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数据元名称</w:t>
            </w:r>
          </w:p>
        </w:tc>
        <w:tc>
          <w:tcPr>
            <w:tcW w:w="2694"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数据元说明</w:t>
            </w:r>
          </w:p>
        </w:tc>
        <w:tc>
          <w:tcPr>
            <w:tcW w:w="2127"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取值范围</w:t>
            </w:r>
          </w:p>
        </w:tc>
        <w:tc>
          <w:tcPr>
            <w:tcW w:w="1184" w:type="dxa"/>
            <w:tcBorders>
              <w:top w:val="single" w:color="auto" w:sz="4" w:space="0"/>
              <w:left w:val="nil"/>
              <w:bottom w:val="single" w:color="auto" w:sz="4" w:space="0"/>
              <w:right w:val="single" w:color="auto" w:sz="4" w:space="0"/>
            </w:tcBorders>
            <w:shd w:val="clear" w:color="000000" w:fill="D9D9D9"/>
            <w:vAlign w:val="center"/>
          </w:tcPr>
          <w:p>
            <w:pPr>
              <w:widowControl/>
              <w:spacing w:line="240" w:lineRule="auto"/>
              <w:ind w:firstLine="0" w:firstLineChars="0"/>
              <w:jc w:val="center"/>
              <w:rPr>
                <w:rFonts w:ascii="宋体" w:hAnsi="宋体" w:eastAsia="宋体" w:cs="宋体"/>
                <w:b/>
                <w:bCs/>
                <w:color w:val="000000"/>
                <w:kern w:val="0"/>
                <w:sz w:val="21"/>
                <w:szCs w:val="21"/>
              </w:rPr>
            </w:pPr>
            <w:r>
              <w:rPr>
                <w:rFonts w:hint="eastAsia" w:ascii="宋体" w:hAnsi="宋体" w:eastAsia="宋体" w:cs="宋体"/>
                <w:b/>
                <w:bCs/>
                <w:color w:val="000000"/>
                <w:kern w:val="0"/>
                <w:sz w:val="21"/>
                <w:szCs w:val="21"/>
              </w:rPr>
              <w:t>数据格式</w:t>
            </w:r>
          </w:p>
        </w:tc>
      </w:tr>
      <w:tr>
        <w:tblPrEx>
          <w:tblCellMar>
            <w:top w:w="0" w:type="dxa"/>
            <w:left w:w="108" w:type="dxa"/>
            <w:bottom w:w="0" w:type="dxa"/>
            <w:right w:w="108" w:type="dxa"/>
          </w:tblCellMar>
        </w:tblPrEx>
        <w:trPr>
          <w:trHeight w:val="57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005001</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风险类型</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风险类型。</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参照《业务代码表》“风险类型代码”，编号CD050001。</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r>
        <w:tblPrEx>
          <w:tblCellMar>
            <w:top w:w="0" w:type="dxa"/>
            <w:left w:w="108" w:type="dxa"/>
            <w:bottom w:w="0" w:type="dxa"/>
            <w:right w:w="108" w:type="dxa"/>
          </w:tblCellMar>
        </w:tblPrEx>
        <w:trPr>
          <w:trHeight w:val="790" w:hRule="atLeast"/>
        </w:trPr>
        <w:tc>
          <w:tcPr>
            <w:tcW w:w="1271" w:type="dxa"/>
            <w:tcBorders>
              <w:top w:val="nil"/>
              <w:left w:val="single" w:color="auto" w:sz="4" w:space="0"/>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005002</w:t>
            </w:r>
          </w:p>
        </w:tc>
        <w:tc>
          <w:tcPr>
            <w:tcW w:w="1558"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center"/>
              <w:rPr>
                <w:rFonts w:ascii="宋体" w:hAnsi="宋体" w:eastAsia="宋体" w:cs="宋体"/>
                <w:kern w:val="0"/>
                <w:sz w:val="21"/>
                <w:szCs w:val="21"/>
              </w:rPr>
            </w:pPr>
            <w:r>
              <w:rPr>
                <w:rFonts w:ascii="宋体" w:hAnsi="宋体" w:eastAsia="宋体"/>
                <w:sz w:val="21"/>
                <w:szCs w:val="21"/>
              </w:rPr>
              <w:t>担保方式</w:t>
            </w:r>
          </w:p>
        </w:tc>
        <w:tc>
          <w:tcPr>
            <w:tcW w:w="26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担保方式。</w:t>
            </w:r>
          </w:p>
        </w:tc>
        <w:tc>
          <w:tcPr>
            <w:tcW w:w="2127"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ascii="宋体" w:hAnsi="宋体" w:eastAsia="宋体" w:cs="宋体"/>
                <w:kern w:val="0"/>
                <w:sz w:val="21"/>
                <w:szCs w:val="21"/>
              </w:rPr>
            </w:pPr>
            <w:r>
              <w:rPr>
                <w:rFonts w:ascii="宋体" w:hAnsi="宋体" w:eastAsia="宋体"/>
                <w:sz w:val="21"/>
                <w:szCs w:val="21"/>
              </w:rPr>
              <w:t>参照《业务代码表》“担保方式代码”，编号CD050002。</w:t>
            </w:r>
          </w:p>
        </w:tc>
        <w:tc>
          <w:tcPr>
            <w:tcW w:w="118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宋体" w:hAnsi="宋体" w:eastAsia="宋体" w:cs="宋体"/>
                <w:kern w:val="0"/>
                <w:sz w:val="21"/>
                <w:szCs w:val="21"/>
              </w:rPr>
            </w:pPr>
            <w:r>
              <w:rPr>
                <w:rFonts w:hint="eastAsia" w:ascii="宋体" w:hAnsi="宋体" w:eastAsia="宋体" w:cs="宋体"/>
                <w:kern w:val="0"/>
                <w:sz w:val="21"/>
                <w:szCs w:val="21"/>
              </w:rPr>
              <w:t>n..10</w:t>
            </w:r>
          </w:p>
        </w:tc>
      </w:tr>
    </w:tbl>
    <w:p>
      <w:pPr>
        <w:ind w:firstLine="0" w:firstLineChars="0"/>
      </w:pPr>
    </w:p>
    <w:sectPr>
      <w:headerReference r:id="rId12" w:type="default"/>
      <w:footerReference r:id="rId13" w:type="default"/>
      <w:pgSz w:w="11906" w:h="16838"/>
      <w:pgMar w:top="2154" w:right="1474" w:bottom="1984" w:left="1588" w:header="851" w:footer="1021"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等线">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NanumGothic">
    <w:panose1 w:val="020D0604000000000000"/>
    <w:charset w:val="81"/>
    <w:family w:val="auto"/>
    <w:pitch w:val="default"/>
    <w:sig w:usb0="900002A7" w:usb1="29D7FCFB" w:usb2="00000010" w:usb3="00000000" w:csb0="0008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sz w:val="21"/>
        <w:szCs w:val="21"/>
      </w:rPr>
    </w:sdtEndPr>
    <w:sdtContent>
      <w:p>
        <w:pPr>
          <w:pStyle w:val="15"/>
          <w:ind w:firstLine="36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w:t>
        </w:r>
        <w:r>
          <w:rPr>
            <w:rFonts w:ascii="宋体" w:hAnsi="宋体"/>
            <w:sz w:val="21"/>
            <w:szCs w:val="21"/>
          </w:rPr>
          <w:t xml:space="preserve"> 1 -</w:t>
        </w:r>
        <w:r>
          <w:rPr>
            <w:rFonts w:ascii="宋体" w:hAnsi="宋体"/>
            <w:sz w:val="21"/>
            <w:szCs w:val="21"/>
          </w:rPr>
          <w:fldChar w:fldCharType="end"/>
        </w:r>
      </w:p>
    </w:sdtContent>
  </w:sdt>
  <w:p>
    <w:pPr>
      <w:pStyle w:val="15"/>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E4A2"/>
    <w:multiLevelType w:val="singleLevel"/>
    <w:tmpl w:val="99F2E4A2"/>
    <w:lvl w:ilvl="0" w:tentative="0">
      <w:start w:val="1"/>
      <w:numFmt w:val="chineseCounting"/>
      <w:pStyle w:val="2"/>
      <w:suff w:val="nothing"/>
      <w:lvlText w:val="%1、"/>
      <w:lvlJc w:val="left"/>
      <w:pPr>
        <w:ind w:left="451" w:firstLine="420"/>
      </w:pPr>
      <w:rPr>
        <w:rFonts w:hint="eastAsia"/>
      </w:rPr>
    </w:lvl>
  </w:abstractNum>
  <w:abstractNum w:abstractNumId="1">
    <w:nsid w:val="C0CEB84B"/>
    <w:multiLevelType w:val="singleLevel"/>
    <w:tmpl w:val="C0CEB84B"/>
    <w:lvl w:ilvl="0" w:tentative="0">
      <w:start w:val="1"/>
      <w:numFmt w:val="decimal"/>
      <w:pStyle w:val="5"/>
      <w:lvlText w:val="(%1)"/>
      <w:lvlJc w:val="left"/>
      <w:pPr>
        <w:ind w:left="425" w:hanging="425"/>
      </w:pPr>
      <w:rPr>
        <w:rFonts w:hint="default"/>
      </w:rPr>
    </w:lvl>
  </w:abstractNum>
  <w:abstractNum w:abstractNumId="2">
    <w:nsid w:val="3C230CCA"/>
    <w:multiLevelType w:val="multilevel"/>
    <w:tmpl w:val="3C230CCA"/>
    <w:lvl w:ilvl="0" w:tentative="0">
      <w:start w:val="1"/>
      <w:numFmt w:val="decimal"/>
      <w:pStyle w:val="4"/>
      <w:lvlText w:val="%1."/>
      <w:lvlJc w:val="left"/>
      <w:pPr>
        <w:ind w:left="992" w:hanging="425"/>
      </w:pPr>
      <w:rPr>
        <w:rFonts w:hint="default"/>
      </w:rPr>
    </w:lvl>
    <w:lvl w:ilvl="1" w:tentative="0">
      <w:start w:val="1"/>
      <w:numFmt w:val="decimal"/>
      <w:isLgl/>
      <w:lvlText w:val="%1.%2"/>
      <w:lvlJc w:val="left"/>
      <w:pPr>
        <w:ind w:left="1134" w:hanging="112"/>
      </w:pPr>
      <w:rPr>
        <w:rFonts w:hint="default"/>
      </w:rPr>
    </w:lvl>
    <w:lvl w:ilvl="2" w:tentative="0">
      <w:start w:val="1"/>
      <w:numFmt w:val="decimal"/>
      <w:isLgl/>
      <w:lvlText w:val="%1.%2.%3"/>
      <w:lvlJc w:val="left"/>
      <w:pPr>
        <w:ind w:left="2704" w:hanging="1080"/>
      </w:pPr>
      <w:rPr>
        <w:rFonts w:hint="default"/>
      </w:rPr>
    </w:lvl>
    <w:lvl w:ilvl="3" w:tentative="0">
      <w:start w:val="1"/>
      <w:numFmt w:val="decimal"/>
      <w:isLgl/>
      <w:lvlText w:val="%1.%2.%3.%4"/>
      <w:lvlJc w:val="left"/>
      <w:pPr>
        <w:ind w:left="3306" w:hanging="1080"/>
      </w:pPr>
      <w:rPr>
        <w:rFonts w:hint="default"/>
      </w:rPr>
    </w:lvl>
    <w:lvl w:ilvl="4" w:tentative="0">
      <w:start w:val="1"/>
      <w:numFmt w:val="decimal"/>
      <w:isLgl/>
      <w:lvlText w:val="%1.%2.%3.%4.%5"/>
      <w:lvlJc w:val="left"/>
      <w:pPr>
        <w:ind w:left="4268" w:hanging="1440"/>
      </w:pPr>
      <w:rPr>
        <w:rFonts w:hint="default"/>
      </w:rPr>
    </w:lvl>
    <w:lvl w:ilvl="5" w:tentative="0">
      <w:start w:val="1"/>
      <w:numFmt w:val="decimal"/>
      <w:isLgl/>
      <w:lvlText w:val="%1.%2.%3.%4.%5.%6"/>
      <w:lvlJc w:val="left"/>
      <w:pPr>
        <w:ind w:left="5230" w:hanging="1800"/>
      </w:pPr>
      <w:rPr>
        <w:rFonts w:hint="default"/>
      </w:rPr>
    </w:lvl>
    <w:lvl w:ilvl="6" w:tentative="0">
      <w:start w:val="1"/>
      <w:numFmt w:val="decimal"/>
      <w:isLgl/>
      <w:lvlText w:val="%1.%2.%3.%4.%5.%6.%7"/>
      <w:lvlJc w:val="left"/>
      <w:pPr>
        <w:ind w:left="6192" w:hanging="2160"/>
      </w:pPr>
      <w:rPr>
        <w:rFonts w:hint="default"/>
      </w:rPr>
    </w:lvl>
    <w:lvl w:ilvl="7" w:tentative="0">
      <w:start w:val="1"/>
      <w:numFmt w:val="decimal"/>
      <w:isLgl/>
      <w:lvlText w:val="%1.%2.%3.%4.%5.%6.%7.%8"/>
      <w:lvlJc w:val="left"/>
      <w:pPr>
        <w:ind w:left="7154" w:hanging="2520"/>
      </w:pPr>
      <w:rPr>
        <w:rFonts w:hint="default"/>
      </w:rPr>
    </w:lvl>
    <w:lvl w:ilvl="8" w:tentative="0">
      <w:start w:val="1"/>
      <w:numFmt w:val="decimal"/>
      <w:isLgl/>
      <w:lvlText w:val="%1.%2.%3.%4.%5.%6.%7.%8.%9"/>
      <w:lvlJc w:val="left"/>
      <w:pPr>
        <w:ind w:left="8116" w:hanging="2880"/>
      </w:pPr>
      <w:rPr>
        <w:rFonts w:hint="default"/>
      </w:rPr>
    </w:lvl>
  </w:abstractNum>
  <w:abstractNum w:abstractNumId="3">
    <w:nsid w:val="6A3342DB"/>
    <w:multiLevelType w:val="singleLevel"/>
    <w:tmpl w:val="6A3342DB"/>
    <w:lvl w:ilvl="0" w:tentative="0">
      <w:start w:val="1"/>
      <w:numFmt w:val="chineseCounting"/>
      <w:pStyle w:val="3"/>
      <w:suff w:val="nothing"/>
      <w:lvlText w:val="（%1）"/>
      <w:lvlJc w:val="left"/>
      <w:pPr>
        <w:ind w:left="714" w:firstLine="420"/>
      </w:pPr>
      <w:rPr>
        <w:rFonts w:hint="eastAsia"/>
      </w:rPr>
    </w:lvl>
  </w:abstractNum>
  <w:num w:numId="1">
    <w:abstractNumId w:val="0"/>
  </w:num>
  <w:num w:numId="2">
    <w:abstractNumId w:val="3"/>
  </w:num>
  <w:num w:numId="3">
    <w:abstractNumId w:val="2"/>
  </w:num>
  <w:num w:numId="4">
    <w:abstractNumId w:val="1"/>
  </w:num>
  <w:num w:numId="5">
    <w:abstractNumId w:val="3"/>
    <w:lvlOverride w:ilvl="0">
      <w:startOverride w:val="1"/>
    </w:lvlOverride>
  </w:num>
  <w:num w:numId="6">
    <w:abstractNumId w:val="3"/>
    <w:lvlOverride w:ilvl="0">
      <w:startOverride w:val="1"/>
    </w:lvlOverride>
  </w:num>
  <w:num w:numId="7">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8">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9">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0">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1">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2">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6">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7">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8">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19">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20">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21">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22">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23">
    <w:abstractNumId w:val="2"/>
    <w:lvlOverride w:ilvl="0">
      <w:lvl w:ilvl="0" w:tentative="1">
        <w:start w:val="1"/>
        <w:numFmt w:val="decimal"/>
        <w:lvlText w:val="%1."/>
        <w:lvlJc w:val="left"/>
        <w:pPr>
          <w:ind w:left="850" w:hanging="425"/>
        </w:pPr>
        <w:rPr>
          <w:rFonts w:hint="default"/>
        </w:rPr>
      </w:lvl>
    </w:lvlOverride>
    <w:lvlOverride w:ilvl="1">
      <w:lvl w:ilvl="1" w:tentative="1">
        <w:start w:val="1"/>
        <w:numFmt w:val="decimal"/>
        <w:isLgl/>
        <w:lvlText w:val="%1.%2"/>
        <w:lvlJc w:val="left"/>
        <w:pPr>
          <w:ind w:left="1134" w:hanging="420"/>
        </w:pPr>
        <w:rPr>
          <w:rFonts w:hint="default"/>
        </w:rPr>
      </w:lvl>
    </w:lvlOverride>
    <w:lvlOverride w:ilvl="2">
      <w:lvl w:ilvl="2" w:tentative="1">
        <w:start w:val="1"/>
        <w:numFmt w:val="decimal"/>
        <w:isLgl/>
        <w:lvlText w:val="%1.%2.%3"/>
        <w:lvlJc w:val="left"/>
        <w:pPr>
          <w:ind w:left="2704" w:hanging="1080"/>
        </w:pPr>
        <w:rPr>
          <w:rFonts w:hint="default"/>
        </w:rPr>
      </w:lvl>
    </w:lvlOverride>
    <w:lvlOverride w:ilvl="3">
      <w:lvl w:ilvl="3" w:tentative="1">
        <w:start w:val="1"/>
        <w:numFmt w:val="decimal"/>
        <w:isLgl/>
        <w:lvlText w:val="%1.%2.%3.%4"/>
        <w:lvlJc w:val="left"/>
        <w:pPr>
          <w:ind w:left="3306" w:hanging="1080"/>
        </w:pPr>
        <w:rPr>
          <w:rFonts w:hint="default"/>
        </w:rPr>
      </w:lvl>
    </w:lvlOverride>
    <w:lvlOverride w:ilvl="4">
      <w:lvl w:ilvl="4" w:tentative="1">
        <w:start w:val="1"/>
        <w:numFmt w:val="decimal"/>
        <w:isLgl/>
        <w:lvlText w:val="%1.%2.%3.%4.%5"/>
        <w:lvlJc w:val="left"/>
        <w:pPr>
          <w:ind w:left="4268" w:hanging="1440"/>
        </w:pPr>
        <w:rPr>
          <w:rFonts w:hint="default"/>
        </w:rPr>
      </w:lvl>
    </w:lvlOverride>
    <w:lvlOverride w:ilvl="5">
      <w:lvl w:ilvl="5" w:tentative="1">
        <w:start w:val="1"/>
        <w:numFmt w:val="decimal"/>
        <w:isLgl/>
        <w:lvlText w:val="%1.%2.%3.%4.%5.%6"/>
        <w:lvlJc w:val="left"/>
        <w:pPr>
          <w:ind w:left="5230" w:hanging="1800"/>
        </w:pPr>
        <w:rPr>
          <w:rFonts w:hint="default"/>
        </w:rPr>
      </w:lvl>
    </w:lvlOverride>
    <w:lvlOverride w:ilvl="6">
      <w:lvl w:ilvl="6" w:tentative="1">
        <w:start w:val="1"/>
        <w:numFmt w:val="decimal"/>
        <w:isLgl/>
        <w:lvlText w:val="%1.%2.%3.%4.%5.%6.%7"/>
        <w:lvlJc w:val="left"/>
        <w:pPr>
          <w:ind w:left="6192" w:hanging="2160"/>
        </w:pPr>
        <w:rPr>
          <w:rFonts w:hint="default"/>
        </w:rPr>
      </w:lvl>
    </w:lvlOverride>
    <w:lvlOverride w:ilvl="7">
      <w:lvl w:ilvl="7" w:tentative="1">
        <w:start w:val="1"/>
        <w:numFmt w:val="decimal"/>
        <w:isLgl/>
        <w:lvlText w:val="%1.%2.%3.%4.%5.%6.%7.%8"/>
        <w:lvlJc w:val="left"/>
        <w:pPr>
          <w:ind w:left="7154" w:hanging="2520"/>
        </w:pPr>
        <w:rPr>
          <w:rFonts w:hint="default"/>
        </w:rPr>
      </w:lvl>
    </w:lvlOverride>
    <w:lvlOverride w:ilvl="8">
      <w:lvl w:ilvl="8" w:tentative="1">
        <w:start w:val="1"/>
        <w:numFmt w:val="decimal"/>
        <w:isLgl/>
        <w:lvlText w:val="%1.%2.%3.%4.%5.%6.%7.%8.%9"/>
        <w:lvlJc w:val="left"/>
        <w:pPr>
          <w:ind w:left="8116" w:hanging="2880"/>
        </w:pPr>
        <w:rPr>
          <w:rFonts w:hint="default"/>
        </w:rPr>
      </w:lvl>
    </w:lvlOverride>
  </w:num>
  <w:num w:numId="24">
    <w:abstractNumId w:val="2"/>
    <w:lvlOverride w:ilvl="0">
      <w:startOverride w:val="1"/>
      <w:lvl w:ilvl="0" w:tentative="1">
        <w:start w:val="1"/>
        <w:numFmt w:val="decimal"/>
        <w:lvlText w:val="%1."/>
        <w:lvlJc w:val="left"/>
        <w:pPr>
          <w:ind w:left="850" w:hanging="425"/>
        </w:pPr>
        <w:rPr>
          <w:rFonts w:hint="default"/>
        </w:rPr>
      </w:lvl>
    </w:lvlOverride>
    <w:lvlOverride w:ilvl="1">
      <w:startOverride w:val="1"/>
      <w:lvl w:ilvl="1" w:tentative="1">
        <w:start w:val="1"/>
        <w:numFmt w:val="decimal"/>
        <w:isLgl/>
        <w:lvlText w:val="%1.%2"/>
        <w:lvlJc w:val="left"/>
        <w:pPr>
          <w:ind w:left="1134" w:hanging="420"/>
        </w:pPr>
        <w:rPr>
          <w:rFonts w:hint="default"/>
        </w:rPr>
      </w:lvl>
    </w:lvlOverride>
    <w:lvlOverride w:ilvl="2">
      <w:startOverride w:val="1"/>
      <w:lvl w:ilvl="2" w:tentative="1">
        <w:start w:val="1"/>
        <w:numFmt w:val="decimal"/>
        <w:isLgl/>
        <w:lvlText w:val="%1.%2.%3"/>
        <w:lvlJc w:val="left"/>
        <w:pPr>
          <w:ind w:left="2704" w:hanging="1080"/>
        </w:pPr>
        <w:rPr>
          <w:rFonts w:hint="default"/>
        </w:rPr>
      </w:lvl>
    </w:lvlOverride>
    <w:lvlOverride w:ilvl="3">
      <w:startOverride w:val="1"/>
      <w:lvl w:ilvl="3" w:tentative="1">
        <w:start w:val="1"/>
        <w:numFmt w:val="decimal"/>
        <w:isLgl/>
        <w:lvlText w:val="%1.%2.%3.%4"/>
        <w:lvlJc w:val="left"/>
        <w:pPr>
          <w:ind w:left="3306" w:hanging="1080"/>
        </w:pPr>
        <w:rPr>
          <w:rFonts w:hint="default"/>
        </w:rPr>
      </w:lvl>
    </w:lvlOverride>
    <w:lvlOverride w:ilvl="4">
      <w:startOverride w:val="1"/>
      <w:lvl w:ilvl="4" w:tentative="1">
        <w:start w:val="1"/>
        <w:numFmt w:val="decimal"/>
        <w:isLgl/>
        <w:lvlText w:val="%1.%2.%3.%4.%5"/>
        <w:lvlJc w:val="left"/>
        <w:pPr>
          <w:ind w:left="4268" w:hanging="1440"/>
        </w:pPr>
        <w:rPr>
          <w:rFonts w:hint="default"/>
        </w:rPr>
      </w:lvl>
    </w:lvlOverride>
    <w:lvlOverride w:ilvl="5">
      <w:startOverride w:val="1"/>
      <w:lvl w:ilvl="5" w:tentative="1">
        <w:start w:val="1"/>
        <w:numFmt w:val="decimal"/>
        <w:isLgl/>
        <w:lvlText w:val="%1.%2.%3.%4.%5.%6"/>
        <w:lvlJc w:val="left"/>
        <w:pPr>
          <w:ind w:left="5230" w:hanging="1800"/>
        </w:pPr>
        <w:rPr>
          <w:rFonts w:hint="default"/>
        </w:rPr>
      </w:lvl>
    </w:lvlOverride>
    <w:lvlOverride w:ilvl="6">
      <w:startOverride w:val="1"/>
      <w:lvl w:ilvl="6" w:tentative="1">
        <w:start w:val="1"/>
        <w:numFmt w:val="decimal"/>
        <w:isLgl/>
        <w:lvlText w:val="%1.%2.%3.%4.%5.%6.%7"/>
        <w:lvlJc w:val="left"/>
        <w:pPr>
          <w:ind w:left="6192" w:hanging="2160"/>
        </w:pPr>
        <w:rPr>
          <w:rFonts w:hint="default"/>
        </w:rPr>
      </w:lvl>
    </w:lvlOverride>
    <w:lvlOverride w:ilvl="7">
      <w:startOverride w:val="1"/>
      <w:lvl w:ilvl="7" w:tentative="1">
        <w:start w:val="1"/>
        <w:numFmt w:val="decimal"/>
        <w:isLgl/>
        <w:lvlText w:val="%1.%2.%3.%4.%5.%6.%7.%8"/>
        <w:lvlJc w:val="left"/>
        <w:pPr>
          <w:ind w:left="7154" w:hanging="2520"/>
        </w:pPr>
        <w:rPr>
          <w:rFonts w:hint="default"/>
        </w:rPr>
      </w:lvl>
    </w:lvlOverride>
    <w:lvlOverride w:ilvl="8">
      <w:startOverride w:val="1"/>
      <w:lvl w:ilvl="8" w:tentative="1">
        <w:start w:val="1"/>
        <w:numFmt w:val="decimal"/>
        <w:isLgl/>
        <w:lvlText w:val="%1.%2.%3.%4.%5.%6.%7.%8.%9"/>
        <w:lvlJc w:val="left"/>
        <w:pPr>
          <w:ind w:left="8116" w:hanging="2880"/>
        </w:pPr>
        <w:rPr>
          <w:rFonts w:hint="default"/>
        </w:rPr>
      </w:lvl>
    </w:lvlOverride>
  </w:num>
  <w:num w:numId="25">
    <w:abstractNumId w:val="2"/>
    <w:lvlOverride w:ilvl="0">
      <w:startOverride w:val="1"/>
      <w:lvl w:ilvl="0" w:tentative="1">
        <w:start w:val="1"/>
        <w:numFmt w:val="decimal"/>
        <w:lvlText w:val="%1."/>
        <w:lvlJc w:val="left"/>
        <w:pPr>
          <w:ind w:left="850" w:hanging="425"/>
        </w:pPr>
        <w:rPr>
          <w:rFonts w:hint="default"/>
        </w:rPr>
      </w:lvl>
    </w:lvlOverride>
    <w:lvlOverride w:ilvl="1">
      <w:startOverride w:val="1"/>
      <w:lvl w:ilvl="1" w:tentative="1">
        <w:start w:val="1"/>
        <w:numFmt w:val="decimal"/>
        <w:isLgl/>
        <w:lvlText w:val="%1.%2"/>
        <w:lvlJc w:val="left"/>
        <w:pPr>
          <w:ind w:left="1134" w:hanging="420"/>
        </w:pPr>
        <w:rPr>
          <w:rFonts w:hint="default"/>
        </w:rPr>
      </w:lvl>
    </w:lvlOverride>
    <w:lvlOverride w:ilvl="2">
      <w:startOverride w:val="1"/>
      <w:lvl w:ilvl="2" w:tentative="1">
        <w:start w:val="1"/>
        <w:numFmt w:val="decimal"/>
        <w:isLgl/>
        <w:lvlText w:val="%1.%2.%3"/>
        <w:lvlJc w:val="left"/>
        <w:pPr>
          <w:ind w:left="2704" w:hanging="1080"/>
        </w:pPr>
        <w:rPr>
          <w:rFonts w:hint="default"/>
        </w:rPr>
      </w:lvl>
    </w:lvlOverride>
    <w:lvlOverride w:ilvl="3">
      <w:startOverride w:val="1"/>
      <w:lvl w:ilvl="3" w:tentative="1">
        <w:start w:val="1"/>
        <w:numFmt w:val="decimal"/>
        <w:isLgl/>
        <w:lvlText w:val="%1.%2.%3.%4"/>
        <w:lvlJc w:val="left"/>
        <w:pPr>
          <w:ind w:left="3306" w:hanging="1080"/>
        </w:pPr>
        <w:rPr>
          <w:rFonts w:hint="default"/>
        </w:rPr>
      </w:lvl>
    </w:lvlOverride>
    <w:lvlOverride w:ilvl="4">
      <w:startOverride w:val="1"/>
      <w:lvl w:ilvl="4" w:tentative="1">
        <w:start w:val="1"/>
        <w:numFmt w:val="decimal"/>
        <w:isLgl/>
        <w:lvlText w:val="%1.%2.%3.%4.%5"/>
        <w:lvlJc w:val="left"/>
        <w:pPr>
          <w:ind w:left="4268" w:hanging="1440"/>
        </w:pPr>
        <w:rPr>
          <w:rFonts w:hint="default"/>
        </w:rPr>
      </w:lvl>
    </w:lvlOverride>
    <w:lvlOverride w:ilvl="5">
      <w:startOverride w:val="1"/>
      <w:lvl w:ilvl="5" w:tentative="1">
        <w:start w:val="1"/>
        <w:numFmt w:val="decimal"/>
        <w:isLgl/>
        <w:lvlText w:val="%1.%2.%3.%4.%5.%6"/>
        <w:lvlJc w:val="left"/>
        <w:pPr>
          <w:ind w:left="5230" w:hanging="1800"/>
        </w:pPr>
        <w:rPr>
          <w:rFonts w:hint="default"/>
        </w:rPr>
      </w:lvl>
    </w:lvlOverride>
    <w:lvlOverride w:ilvl="6">
      <w:startOverride w:val="1"/>
      <w:lvl w:ilvl="6" w:tentative="1">
        <w:start w:val="1"/>
        <w:numFmt w:val="decimal"/>
        <w:isLgl/>
        <w:lvlText w:val="%1.%2.%3.%4.%5.%6.%7"/>
        <w:lvlJc w:val="left"/>
        <w:pPr>
          <w:ind w:left="6192" w:hanging="2160"/>
        </w:pPr>
        <w:rPr>
          <w:rFonts w:hint="default"/>
        </w:rPr>
      </w:lvl>
    </w:lvlOverride>
    <w:lvlOverride w:ilvl="7">
      <w:startOverride w:val="1"/>
      <w:lvl w:ilvl="7" w:tentative="1">
        <w:start w:val="1"/>
        <w:numFmt w:val="decimal"/>
        <w:isLgl/>
        <w:lvlText w:val="%1.%2.%3.%4.%5.%6.%7.%8"/>
        <w:lvlJc w:val="left"/>
        <w:pPr>
          <w:ind w:left="7154" w:hanging="2520"/>
        </w:pPr>
        <w:rPr>
          <w:rFonts w:hint="default"/>
        </w:rPr>
      </w:lvl>
    </w:lvlOverride>
    <w:lvlOverride w:ilvl="8">
      <w:startOverride w:val="1"/>
      <w:lvl w:ilvl="8" w:tentative="1">
        <w:start w:val="1"/>
        <w:numFmt w:val="decimal"/>
        <w:isLgl/>
        <w:lvlText w:val="%1.%2.%3.%4.%5.%6.%7.%8.%9"/>
        <w:lvlJc w:val="left"/>
        <w:pPr>
          <w:ind w:left="8116" w:hanging="2880"/>
        </w:pPr>
        <w:rPr>
          <w:rFonts w:hint="default"/>
        </w:rPr>
      </w:lvl>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g0NDViODgxMGYyMTM5YjQ4MTZkMzhlN2U5ODkzZDkifQ=="/>
  </w:docVars>
  <w:rsids>
    <w:rsidRoot w:val="00A9540B"/>
    <w:rsid w:val="00002B92"/>
    <w:rsid w:val="00006EC6"/>
    <w:rsid w:val="00010419"/>
    <w:rsid w:val="00011294"/>
    <w:rsid w:val="0001158B"/>
    <w:rsid w:val="00011C86"/>
    <w:rsid w:val="00013F04"/>
    <w:rsid w:val="00020419"/>
    <w:rsid w:val="00022D69"/>
    <w:rsid w:val="000261DD"/>
    <w:rsid w:val="00032356"/>
    <w:rsid w:val="0003398D"/>
    <w:rsid w:val="00036366"/>
    <w:rsid w:val="0004068E"/>
    <w:rsid w:val="00044F0B"/>
    <w:rsid w:val="00045CFF"/>
    <w:rsid w:val="00046913"/>
    <w:rsid w:val="00046E06"/>
    <w:rsid w:val="00053E4E"/>
    <w:rsid w:val="000547A4"/>
    <w:rsid w:val="00060BC3"/>
    <w:rsid w:val="00063A48"/>
    <w:rsid w:val="00063E79"/>
    <w:rsid w:val="00065610"/>
    <w:rsid w:val="00072055"/>
    <w:rsid w:val="000728C3"/>
    <w:rsid w:val="000843E0"/>
    <w:rsid w:val="00084C15"/>
    <w:rsid w:val="00085F3F"/>
    <w:rsid w:val="00086E72"/>
    <w:rsid w:val="00087DD0"/>
    <w:rsid w:val="00090DCF"/>
    <w:rsid w:val="000912E8"/>
    <w:rsid w:val="00091574"/>
    <w:rsid w:val="00091C32"/>
    <w:rsid w:val="000962BE"/>
    <w:rsid w:val="00097570"/>
    <w:rsid w:val="000A06D5"/>
    <w:rsid w:val="000A2191"/>
    <w:rsid w:val="000A454D"/>
    <w:rsid w:val="000A4D0C"/>
    <w:rsid w:val="000B0656"/>
    <w:rsid w:val="000B0EBE"/>
    <w:rsid w:val="000B5819"/>
    <w:rsid w:val="000B5CEB"/>
    <w:rsid w:val="000B66FE"/>
    <w:rsid w:val="000B6C58"/>
    <w:rsid w:val="000B79BA"/>
    <w:rsid w:val="000C00DD"/>
    <w:rsid w:val="000C19CD"/>
    <w:rsid w:val="000C2EC8"/>
    <w:rsid w:val="000C36A2"/>
    <w:rsid w:val="000C5EDC"/>
    <w:rsid w:val="000C79F1"/>
    <w:rsid w:val="000D3BEE"/>
    <w:rsid w:val="000D66CC"/>
    <w:rsid w:val="000D7035"/>
    <w:rsid w:val="000D750F"/>
    <w:rsid w:val="000E5E27"/>
    <w:rsid w:val="000E61B3"/>
    <w:rsid w:val="000E6DA2"/>
    <w:rsid w:val="000F1260"/>
    <w:rsid w:val="000F2A87"/>
    <w:rsid w:val="000F6512"/>
    <w:rsid w:val="001038C1"/>
    <w:rsid w:val="00104353"/>
    <w:rsid w:val="00105C13"/>
    <w:rsid w:val="00105F34"/>
    <w:rsid w:val="00106E0F"/>
    <w:rsid w:val="0011017E"/>
    <w:rsid w:val="0011189A"/>
    <w:rsid w:val="00116CE4"/>
    <w:rsid w:val="00117B41"/>
    <w:rsid w:val="0012104C"/>
    <w:rsid w:val="00122735"/>
    <w:rsid w:val="00123FFD"/>
    <w:rsid w:val="00125376"/>
    <w:rsid w:val="00126FFF"/>
    <w:rsid w:val="001272F4"/>
    <w:rsid w:val="00133F6C"/>
    <w:rsid w:val="001344AB"/>
    <w:rsid w:val="00134AE7"/>
    <w:rsid w:val="00135D35"/>
    <w:rsid w:val="00136EC4"/>
    <w:rsid w:val="001374AD"/>
    <w:rsid w:val="00141DCE"/>
    <w:rsid w:val="0014316F"/>
    <w:rsid w:val="00143569"/>
    <w:rsid w:val="001446D6"/>
    <w:rsid w:val="001449DF"/>
    <w:rsid w:val="00144A6D"/>
    <w:rsid w:val="001452DE"/>
    <w:rsid w:val="00146DD8"/>
    <w:rsid w:val="00147211"/>
    <w:rsid w:val="00151CCE"/>
    <w:rsid w:val="001522BF"/>
    <w:rsid w:val="001546DA"/>
    <w:rsid w:val="00154DB8"/>
    <w:rsid w:val="0015688E"/>
    <w:rsid w:val="0015778F"/>
    <w:rsid w:val="00157C24"/>
    <w:rsid w:val="001617D8"/>
    <w:rsid w:val="00161E78"/>
    <w:rsid w:val="001676B1"/>
    <w:rsid w:val="00170D59"/>
    <w:rsid w:val="0017153E"/>
    <w:rsid w:val="00173048"/>
    <w:rsid w:val="00174589"/>
    <w:rsid w:val="001748DD"/>
    <w:rsid w:val="00176282"/>
    <w:rsid w:val="00180C25"/>
    <w:rsid w:val="0018211E"/>
    <w:rsid w:val="001852D3"/>
    <w:rsid w:val="00187A5B"/>
    <w:rsid w:val="0019135B"/>
    <w:rsid w:val="00193BA7"/>
    <w:rsid w:val="0019670E"/>
    <w:rsid w:val="00197605"/>
    <w:rsid w:val="00197CC9"/>
    <w:rsid w:val="001A3AFC"/>
    <w:rsid w:val="001A556D"/>
    <w:rsid w:val="001B0108"/>
    <w:rsid w:val="001B26F5"/>
    <w:rsid w:val="001B3B0B"/>
    <w:rsid w:val="001B3CCE"/>
    <w:rsid w:val="001B5732"/>
    <w:rsid w:val="001B6B63"/>
    <w:rsid w:val="001B7173"/>
    <w:rsid w:val="001C0ADA"/>
    <w:rsid w:val="001C1B44"/>
    <w:rsid w:val="001C4C33"/>
    <w:rsid w:val="001C660C"/>
    <w:rsid w:val="001D1041"/>
    <w:rsid w:val="001D1C4E"/>
    <w:rsid w:val="001D3D08"/>
    <w:rsid w:val="001D51AC"/>
    <w:rsid w:val="001D5C40"/>
    <w:rsid w:val="001D658E"/>
    <w:rsid w:val="001D6AAA"/>
    <w:rsid w:val="001D6F52"/>
    <w:rsid w:val="001D7000"/>
    <w:rsid w:val="001E2212"/>
    <w:rsid w:val="001E232D"/>
    <w:rsid w:val="001E3FF9"/>
    <w:rsid w:val="001F0669"/>
    <w:rsid w:val="001F0B11"/>
    <w:rsid w:val="001F134C"/>
    <w:rsid w:val="001F5870"/>
    <w:rsid w:val="001F58E5"/>
    <w:rsid w:val="001F71F4"/>
    <w:rsid w:val="00200BE5"/>
    <w:rsid w:val="00201146"/>
    <w:rsid w:val="00205B64"/>
    <w:rsid w:val="00206EC6"/>
    <w:rsid w:val="00207252"/>
    <w:rsid w:val="00207C0E"/>
    <w:rsid w:val="00211980"/>
    <w:rsid w:val="0021563B"/>
    <w:rsid w:val="00216A9D"/>
    <w:rsid w:val="00223A50"/>
    <w:rsid w:val="0022603F"/>
    <w:rsid w:val="002309BC"/>
    <w:rsid w:val="00232DC2"/>
    <w:rsid w:val="00235038"/>
    <w:rsid w:val="0023665F"/>
    <w:rsid w:val="002369B7"/>
    <w:rsid w:val="00237488"/>
    <w:rsid w:val="002651DE"/>
    <w:rsid w:val="002660A9"/>
    <w:rsid w:val="002662CD"/>
    <w:rsid w:val="0026652B"/>
    <w:rsid w:val="002701BF"/>
    <w:rsid w:val="002707A7"/>
    <w:rsid w:val="00271185"/>
    <w:rsid w:val="00273DD6"/>
    <w:rsid w:val="002744E1"/>
    <w:rsid w:val="00275386"/>
    <w:rsid w:val="0027732F"/>
    <w:rsid w:val="00280962"/>
    <w:rsid w:val="00282BB5"/>
    <w:rsid w:val="00283C44"/>
    <w:rsid w:val="00284081"/>
    <w:rsid w:val="002842AD"/>
    <w:rsid w:val="002864D6"/>
    <w:rsid w:val="00286B7E"/>
    <w:rsid w:val="002873F5"/>
    <w:rsid w:val="00290FE1"/>
    <w:rsid w:val="002914BD"/>
    <w:rsid w:val="00291AF7"/>
    <w:rsid w:val="00292F76"/>
    <w:rsid w:val="00294788"/>
    <w:rsid w:val="00296451"/>
    <w:rsid w:val="0029717E"/>
    <w:rsid w:val="002A2D4C"/>
    <w:rsid w:val="002A7B42"/>
    <w:rsid w:val="002A7F4B"/>
    <w:rsid w:val="002B1A1A"/>
    <w:rsid w:val="002B1EB3"/>
    <w:rsid w:val="002B3C11"/>
    <w:rsid w:val="002B4EF9"/>
    <w:rsid w:val="002B796A"/>
    <w:rsid w:val="002C0D8F"/>
    <w:rsid w:val="002C3C1C"/>
    <w:rsid w:val="002C424F"/>
    <w:rsid w:val="002C623A"/>
    <w:rsid w:val="002D0157"/>
    <w:rsid w:val="002D0385"/>
    <w:rsid w:val="002D2983"/>
    <w:rsid w:val="002D3E13"/>
    <w:rsid w:val="002D41C0"/>
    <w:rsid w:val="002E00D9"/>
    <w:rsid w:val="002E044E"/>
    <w:rsid w:val="002E0C68"/>
    <w:rsid w:val="002E0E1F"/>
    <w:rsid w:val="002E1599"/>
    <w:rsid w:val="002E15E5"/>
    <w:rsid w:val="002E19CD"/>
    <w:rsid w:val="002E210F"/>
    <w:rsid w:val="002E4737"/>
    <w:rsid w:val="002E53A7"/>
    <w:rsid w:val="002E7E90"/>
    <w:rsid w:val="002F0360"/>
    <w:rsid w:val="002F0C97"/>
    <w:rsid w:val="002F44A2"/>
    <w:rsid w:val="002F478D"/>
    <w:rsid w:val="002F7D87"/>
    <w:rsid w:val="002F7F94"/>
    <w:rsid w:val="0030118C"/>
    <w:rsid w:val="0030210F"/>
    <w:rsid w:val="00302DA8"/>
    <w:rsid w:val="00303E2E"/>
    <w:rsid w:val="00304B75"/>
    <w:rsid w:val="00304FD9"/>
    <w:rsid w:val="00305B5B"/>
    <w:rsid w:val="00310429"/>
    <w:rsid w:val="00312D3E"/>
    <w:rsid w:val="00314A8E"/>
    <w:rsid w:val="003159CF"/>
    <w:rsid w:val="00320334"/>
    <w:rsid w:val="00322D93"/>
    <w:rsid w:val="00322E47"/>
    <w:rsid w:val="00323785"/>
    <w:rsid w:val="00324137"/>
    <w:rsid w:val="003254AD"/>
    <w:rsid w:val="0032722F"/>
    <w:rsid w:val="00330CF7"/>
    <w:rsid w:val="00332053"/>
    <w:rsid w:val="00337AE1"/>
    <w:rsid w:val="00337C1D"/>
    <w:rsid w:val="00337C91"/>
    <w:rsid w:val="003421EF"/>
    <w:rsid w:val="00343CF5"/>
    <w:rsid w:val="00346D62"/>
    <w:rsid w:val="00347B1A"/>
    <w:rsid w:val="00347D04"/>
    <w:rsid w:val="00353DE5"/>
    <w:rsid w:val="003547B0"/>
    <w:rsid w:val="00355041"/>
    <w:rsid w:val="00355D9C"/>
    <w:rsid w:val="00356F04"/>
    <w:rsid w:val="00357666"/>
    <w:rsid w:val="00357A83"/>
    <w:rsid w:val="003626BA"/>
    <w:rsid w:val="003626D0"/>
    <w:rsid w:val="003630A9"/>
    <w:rsid w:val="003641AD"/>
    <w:rsid w:val="00365114"/>
    <w:rsid w:val="003652FC"/>
    <w:rsid w:val="003660C7"/>
    <w:rsid w:val="003667AC"/>
    <w:rsid w:val="00370134"/>
    <w:rsid w:val="003712EC"/>
    <w:rsid w:val="003744A4"/>
    <w:rsid w:val="00374637"/>
    <w:rsid w:val="00375031"/>
    <w:rsid w:val="003762A1"/>
    <w:rsid w:val="00380DA1"/>
    <w:rsid w:val="00382A56"/>
    <w:rsid w:val="003834FD"/>
    <w:rsid w:val="00384D78"/>
    <w:rsid w:val="00384FE8"/>
    <w:rsid w:val="003862EC"/>
    <w:rsid w:val="00386D6B"/>
    <w:rsid w:val="00386DCD"/>
    <w:rsid w:val="0038752C"/>
    <w:rsid w:val="0039023C"/>
    <w:rsid w:val="003902D8"/>
    <w:rsid w:val="00391014"/>
    <w:rsid w:val="00394099"/>
    <w:rsid w:val="00394F71"/>
    <w:rsid w:val="00396E8E"/>
    <w:rsid w:val="00397C2E"/>
    <w:rsid w:val="003A1F26"/>
    <w:rsid w:val="003A3667"/>
    <w:rsid w:val="003A40FF"/>
    <w:rsid w:val="003A6B11"/>
    <w:rsid w:val="003A6DB3"/>
    <w:rsid w:val="003A6F11"/>
    <w:rsid w:val="003A77B6"/>
    <w:rsid w:val="003A7A8B"/>
    <w:rsid w:val="003C06A4"/>
    <w:rsid w:val="003C366A"/>
    <w:rsid w:val="003C4036"/>
    <w:rsid w:val="003C58DD"/>
    <w:rsid w:val="003C5C1C"/>
    <w:rsid w:val="003C611A"/>
    <w:rsid w:val="003D08AE"/>
    <w:rsid w:val="003D38C6"/>
    <w:rsid w:val="003D4FCB"/>
    <w:rsid w:val="003D534F"/>
    <w:rsid w:val="003D6271"/>
    <w:rsid w:val="003E191C"/>
    <w:rsid w:val="003E20CF"/>
    <w:rsid w:val="003E3956"/>
    <w:rsid w:val="003F0766"/>
    <w:rsid w:val="003F0C36"/>
    <w:rsid w:val="003F1BED"/>
    <w:rsid w:val="003F2FB4"/>
    <w:rsid w:val="003F37CA"/>
    <w:rsid w:val="003F560F"/>
    <w:rsid w:val="003F7566"/>
    <w:rsid w:val="003F7613"/>
    <w:rsid w:val="003F772B"/>
    <w:rsid w:val="00400196"/>
    <w:rsid w:val="004011A1"/>
    <w:rsid w:val="004037CD"/>
    <w:rsid w:val="00403D23"/>
    <w:rsid w:val="0040446A"/>
    <w:rsid w:val="00405718"/>
    <w:rsid w:val="00405BE2"/>
    <w:rsid w:val="004071EC"/>
    <w:rsid w:val="00411737"/>
    <w:rsid w:val="00411F92"/>
    <w:rsid w:val="0041346C"/>
    <w:rsid w:val="00416534"/>
    <w:rsid w:val="004203F1"/>
    <w:rsid w:val="00422043"/>
    <w:rsid w:val="00426F97"/>
    <w:rsid w:val="00427EF1"/>
    <w:rsid w:val="00432925"/>
    <w:rsid w:val="004359F8"/>
    <w:rsid w:val="0044087D"/>
    <w:rsid w:val="00447529"/>
    <w:rsid w:val="00447893"/>
    <w:rsid w:val="00452909"/>
    <w:rsid w:val="004532BA"/>
    <w:rsid w:val="00454673"/>
    <w:rsid w:val="0045508B"/>
    <w:rsid w:val="00456316"/>
    <w:rsid w:val="0045728E"/>
    <w:rsid w:val="00460D22"/>
    <w:rsid w:val="004611C2"/>
    <w:rsid w:val="00462A1C"/>
    <w:rsid w:val="00463DF5"/>
    <w:rsid w:val="00463E8B"/>
    <w:rsid w:val="004649AB"/>
    <w:rsid w:val="00467A90"/>
    <w:rsid w:val="00470537"/>
    <w:rsid w:val="0047092F"/>
    <w:rsid w:val="00470E46"/>
    <w:rsid w:val="0047122F"/>
    <w:rsid w:val="00471A87"/>
    <w:rsid w:val="004729A1"/>
    <w:rsid w:val="00472D41"/>
    <w:rsid w:val="004759D8"/>
    <w:rsid w:val="00476DE2"/>
    <w:rsid w:val="004810A2"/>
    <w:rsid w:val="00482235"/>
    <w:rsid w:val="004822E9"/>
    <w:rsid w:val="00482F20"/>
    <w:rsid w:val="004838A7"/>
    <w:rsid w:val="00484126"/>
    <w:rsid w:val="004861EF"/>
    <w:rsid w:val="00487979"/>
    <w:rsid w:val="00491565"/>
    <w:rsid w:val="0049243C"/>
    <w:rsid w:val="004936BE"/>
    <w:rsid w:val="00493A06"/>
    <w:rsid w:val="004943B8"/>
    <w:rsid w:val="00496E6F"/>
    <w:rsid w:val="004A06FB"/>
    <w:rsid w:val="004A19FE"/>
    <w:rsid w:val="004A250E"/>
    <w:rsid w:val="004A3524"/>
    <w:rsid w:val="004A3614"/>
    <w:rsid w:val="004A3C3E"/>
    <w:rsid w:val="004A4F53"/>
    <w:rsid w:val="004A7876"/>
    <w:rsid w:val="004B3519"/>
    <w:rsid w:val="004B3D02"/>
    <w:rsid w:val="004B3E03"/>
    <w:rsid w:val="004B5FFE"/>
    <w:rsid w:val="004B62FB"/>
    <w:rsid w:val="004B6E70"/>
    <w:rsid w:val="004B7B51"/>
    <w:rsid w:val="004C0385"/>
    <w:rsid w:val="004C4634"/>
    <w:rsid w:val="004C4A5D"/>
    <w:rsid w:val="004D2D80"/>
    <w:rsid w:val="004D5494"/>
    <w:rsid w:val="004D5FAA"/>
    <w:rsid w:val="004E0772"/>
    <w:rsid w:val="004E1E03"/>
    <w:rsid w:val="004E5F80"/>
    <w:rsid w:val="004E6D2A"/>
    <w:rsid w:val="004F253D"/>
    <w:rsid w:val="004F457D"/>
    <w:rsid w:val="004F62B4"/>
    <w:rsid w:val="004F6888"/>
    <w:rsid w:val="00502CC8"/>
    <w:rsid w:val="005039E5"/>
    <w:rsid w:val="00503CBE"/>
    <w:rsid w:val="00504DF1"/>
    <w:rsid w:val="0050592E"/>
    <w:rsid w:val="00505B29"/>
    <w:rsid w:val="00506B13"/>
    <w:rsid w:val="00507A31"/>
    <w:rsid w:val="005131EA"/>
    <w:rsid w:val="00513CAE"/>
    <w:rsid w:val="00513D27"/>
    <w:rsid w:val="005144A2"/>
    <w:rsid w:val="00515300"/>
    <w:rsid w:val="00520F75"/>
    <w:rsid w:val="00524B41"/>
    <w:rsid w:val="0052609B"/>
    <w:rsid w:val="00527E17"/>
    <w:rsid w:val="005302C6"/>
    <w:rsid w:val="005333C5"/>
    <w:rsid w:val="00535C72"/>
    <w:rsid w:val="00536933"/>
    <w:rsid w:val="00540840"/>
    <w:rsid w:val="00540B63"/>
    <w:rsid w:val="0054171F"/>
    <w:rsid w:val="00541E80"/>
    <w:rsid w:val="00543171"/>
    <w:rsid w:val="005438C8"/>
    <w:rsid w:val="005438E8"/>
    <w:rsid w:val="00543B17"/>
    <w:rsid w:val="00545BCD"/>
    <w:rsid w:val="005474F7"/>
    <w:rsid w:val="00547869"/>
    <w:rsid w:val="00547D29"/>
    <w:rsid w:val="0055338C"/>
    <w:rsid w:val="00553688"/>
    <w:rsid w:val="00555391"/>
    <w:rsid w:val="00555556"/>
    <w:rsid w:val="00555722"/>
    <w:rsid w:val="00556E12"/>
    <w:rsid w:val="00557650"/>
    <w:rsid w:val="0056089F"/>
    <w:rsid w:val="00561B8E"/>
    <w:rsid w:val="00563845"/>
    <w:rsid w:val="00564076"/>
    <w:rsid w:val="005705A5"/>
    <w:rsid w:val="00571BA6"/>
    <w:rsid w:val="005725FB"/>
    <w:rsid w:val="00574008"/>
    <w:rsid w:val="005748B1"/>
    <w:rsid w:val="005803D1"/>
    <w:rsid w:val="00581060"/>
    <w:rsid w:val="005814F5"/>
    <w:rsid w:val="005816E5"/>
    <w:rsid w:val="00582012"/>
    <w:rsid w:val="00584A2E"/>
    <w:rsid w:val="005855A2"/>
    <w:rsid w:val="00586CEA"/>
    <w:rsid w:val="00587E4A"/>
    <w:rsid w:val="0059012B"/>
    <w:rsid w:val="00593E70"/>
    <w:rsid w:val="005A6E6E"/>
    <w:rsid w:val="005A7042"/>
    <w:rsid w:val="005B0519"/>
    <w:rsid w:val="005B0F2A"/>
    <w:rsid w:val="005B10C0"/>
    <w:rsid w:val="005B4F65"/>
    <w:rsid w:val="005B573A"/>
    <w:rsid w:val="005B73AA"/>
    <w:rsid w:val="005B7AB4"/>
    <w:rsid w:val="005B7E66"/>
    <w:rsid w:val="005C0558"/>
    <w:rsid w:val="005C6E4D"/>
    <w:rsid w:val="005D0D31"/>
    <w:rsid w:val="005D2C63"/>
    <w:rsid w:val="005E4E1A"/>
    <w:rsid w:val="005E63D9"/>
    <w:rsid w:val="005E7A7C"/>
    <w:rsid w:val="005F0501"/>
    <w:rsid w:val="005F5355"/>
    <w:rsid w:val="005F578F"/>
    <w:rsid w:val="005F635B"/>
    <w:rsid w:val="006002BA"/>
    <w:rsid w:val="006005D0"/>
    <w:rsid w:val="0060237D"/>
    <w:rsid w:val="0060612A"/>
    <w:rsid w:val="00613BB9"/>
    <w:rsid w:val="0061516A"/>
    <w:rsid w:val="006151EB"/>
    <w:rsid w:val="00615335"/>
    <w:rsid w:val="0061539C"/>
    <w:rsid w:val="00615727"/>
    <w:rsid w:val="00621B48"/>
    <w:rsid w:val="00623EE1"/>
    <w:rsid w:val="006256DA"/>
    <w:rsid w:val="0063029F"/>
    <w:rsid w:val="0063133B"/>
    <w:rsid w:val="00632FA1"/>
    <w:rsid w:val="006338A9"/>
    <w:rsid w:val="00634284"/>
    <w:rsid w:val="0063436C"/>
    <w:rsid w:val="00635A92"/>
    <w:rsid w:val="00637684"/>
    <w:rsid w:val="00640E76"/>
    <w:rsid w:val="0064187B"/>
    <w:rsid w:val="006423F2"/>
    <w:rsid w:val="006426AA"/>
    <w:rsid w:val="00643B90"/>
    <w:rsid w:val="00643E69"/>
    <w:rsid w:val="00644952"/>
    <w:rsid w:val="00650069"/>
    <w:rsid w:val="006518CF"/>
    <w:rsid w:val="006562FE"/>
    <w:rsid w:val="00656E27"/>
    <w:rsid w:val="00660156"/>
    <w:rsid w:val="00661F5F"/>
    <w:rsid w:val="006642CF"/>
    <w:rsid w:val="00664579"/>
    <w:rsid w:val="00666006"/>
    <w:rsid w:val="00666946"/>
    <w:rsid w:val="0066702B"/>
    <w:rsid w:val="00670099"/>
    <w:rsid w:val="00671AE8"/>
    <w:rsid w:val="00671D64"/>
    <w:rsid w:val="00672A04"/>
    <w:rsid w:val="006744FF"/>
    <w:rsid w:val="00676898"/>
    <w:rsid w:val="00680AA6"/>
    <w:rsid w:val="006814ED"/>
    <w:rsid w:val="00681E08"/>
    <w:rsid w:val="006832CD"/>
    <w:rsid w:val="00683860"/>
    <w:rsid w:val="006845EB"/>
    <w:rsid w:val="00684E49"/>
    <w:rsid w:val="0068756F"/>
    <w:rsid w:val="006949F7"/>
    <w:rsid w:val="00695D08"/>
    <w:rsid w:val="006961F3"/>
    <w:rsid w:val="0069785F"/>
    <w:rsid w:val="006A064B"/>
    <w:rsid w:val="006A140B"/>
    <w:rsid w:val="006A1E2A"/>
    <w:rsid w:val="006A2B89"/>
    <w:rsid w:val="006A3FA4"/>
    <w:rsid w:val="006A6695"/>
    <w:rsid w:val="006B0F05"/>
    <w:rsid w:val="006B2265"/>
    <w:rsid w:val="006B27D7"/>
    <w:rsid w:val="006B3BB8"/>
    <w:rsid w:val="006C05C9"/>
    <w:rsid w:val="006C39BB"/>
    <w:rsid w:val="006C4146"/>
    <w:rsid w:val="006C5E73"/>
    <w:rsid w:val="006C61BF"/>
    <w:rsid w:val="006C64EF"/>
    <w:rsid w:val="006D0B12"/>
    <w:rsid w:val="006D2092"/>
    <w:rsid w:val="006D20B3"/>
    <w:rsid w:val="006D2168"/>
    <w:rsid w:val="006D2BBB"/>
    <w:rsid w:val="006D2FC2"/>
    <w:rsid w:val="006D319C"/>
    <w:rsid w:val="006D3FCA"/>
    <w:rsid w:val="006E03E7"/>
    <w:rsid w:val="006E0939"/>
    <w:rsid w:val="006E516F"/>
    <w:rsid w:val="006F01B9"/>
    <w:rsid w:val="006F0C8A"/>
    <w:rsid w:val="006F1FAD"/>
    <w:rsid w:val="006F2519"/>
    <w:rsid w:val="006F342B"/>
    <w:rsid w:val="006F590E"/>
    <w:rsid w:val="006F7297"/>
    <w:rsid w:val="006F72D1"/>
    <w:rsid w:val="00700F99"/>
    <w:rsid w:val="007020DF"/>
    <w:rsid w:val="007027C0"/>
    <w:rsid w:val="00704536"/>
    <w:rsid w:val="00704F73"/>
    <w:rsid w:val="00705AE6"/>
    <w:rsid w:val="00705F85"/>
    <w:rsid w:val="0070628E"/>
    <w:rsid w:val="007064D0"/>
    <w:rsid w:val="00706EB4"/>
    <w:rsid w:val="007071C1"/>
    <w:rsid w:val="00715B15"/>
    <w:rsid w:val="00715F02"/>
    <w:rsid w:val="007164DA"/>
    <w:rsid w:val="00717A34"/>
    <w:rsid w:val="00720DC6"/>
    <w:rsid w:val="00723AB5"/>
    <w:rsid w:val="00723BF4"/>
    <w:rsid w:val="00725BEE"/>
    <w:rsid w:val="00727995"/>
    <w:rsid w:val="00727F16"/>
    <w:rsid w:val="00727FFB"/>
    <w:rsid w:val="00731356"/>
    <w:rsid w:val="00732CFF"/>
    <w:rsid w:val="00734C13"/>
    <w:rsid w:val="00734F4A"/>
    <w:rsid w:val="007358F0"/>
    <w:rsid w:val="00735B7D"/>
    <w:rsid w:val="007363D7"/>
    <w:rsid w:val="007375F9"/>
    <w:rsid w:val="00743063"/>
    <w:rsid w:val="00743B37"/>
    <w:rsid w:val="00744263"/>
    <w:rsid w:val="0074662C"/>
    <w:rsid w:val="0075046E"/>
    <w:rsid w:val="007504A6"/>
    <w:rsid w:val="007506BE"/>
    <w:rsid w:val="007515C0"/>
    <w:rsid w:val="00751DC4"/>
    <w:rsid w:val="00754F76"/>
    <w:rsid w:val="0075505F"/>
    <w:rsid w:val="00755670"/>
    <w:rsid w:val="007574F4"/>
    <w:rsid w:val="00761A58"/>
    <w:rsid w:val="00761C2F"/>
    <w:rsid w:val="0076371D"/>
    <w:rsid w:val="00763F8B"/>
    <w:rsid w:val="0076408D"/>
    <w:rsid w:val="00764502"/>
    <w:rsid w:val="00765F48"/>
    <w:rsid w:val="00765FC8"/>
    <w:rsid w:val="007666C1"/>
    <w:rsid w:val="007668A3"/>
    <w:rsid w:val="00767464"/>
    <w:rsid w:val="00770154"/>
    <w:rsid w:val="007708DB"/>
    <w:rsid w:val="00771B12"/>
    <w:rsid w:val="007749A5"/>
    <w:rsid w:val="00774BB5"/>
    <w:rsid w:val="00774BF3"/>
    <w:rsid w:val="00776BA4"/>
    <w:rsid w:val="00777A42"/>
    <w:rsid w:val="00783448"/>
    <w:rsid w:val="00783605"/>
    <w:rsid w:val="00784585"/>
    <w:rsid w:val="00785655"/>
    <w:rsid w:val="007856B3"/>
    <w:rsid w:val="00785FD6"/>
    <w:rsid w:val="00790C93"/>
    <w:rsid w:val="00792DE4"/>
    <w:rsid w:val="00795CB7"/>
    <w:rsid w:val="00796863"/>
    <w:rsid w:val="00797D35"/>
    <w:rsid w:val="007A136D"/>
    <w:rsid w:val="007A551B"/>
    <w:rsid w:val="007B3DF7"/>
    <w:rsid w:val="007B551C"/>
    <w:rsid w:val="007B5544"/>
    <w:rsid w:val="007B7CC7"/>
    <w:rsid w:val="007C1EA3"/>
    <w:rsid w:val="007C5EC9"/>
    <w:rsid w:val="007D00FD"/>
    <w:rsid w:val="007D01FA"/>
    <w:rsid w:val="007D06FF"/>
    <w:rsid w:val="007D0AA5"/>
    <w:rsid w:val="007D1372"/>
    <w:rsid w:val="007D2C3D"/>
    <w:rsid w:val="007D61E4"/>
    <w:rsid w:val="007E262B"/>
    <w:rsid w:val="007E3A6C"/>
    <w:rsid w:val="007E7B7A"/>
    <w:rsid w:val="007E7C8C"/>
    <w:rsid w:val="007F0591"/>
    <w:rsid w:val="007F13BF"/>
    <w:rsid w:val="007F2CBA"/>
    <w:rsid w:val="007F4FD3"/>
    <w:rsid w:val="007F63F4"/>
    <w:rsid w:val="007F760F"/>
    <w:rsid w:val="00801211"/>
    <w:rsid w:val="008014F8"/>
    <w:rsid w:val="00802116"/>
    <w:rsid w:val="00804D80"/>
    <w:rsid w:val="00805651"/>
    <w:rsid w:val="00806211"/>
    <w:rsid w:val="0080665B"/>
    <w:rsid w:val="00806D4E"/>
    <w:rsid w:val="00810838"/>
    <w:rsid w:val="00810C7E"/>
    <w:rsid w:val="00812A0D"/>
    <w:rsid w:val="008144D4"/>
    <w:rsid w:val="008145E5"/>
    <w:rsid w:val="00820119"/>
    <w:rsid w:val="00821477"/>
    <w:rsid w:val="00821588"/>
    <w:rsid w:val="00823927"/>
    <w:rsid w:val="00823A81"/>
    <w:rsid w:val="0082711A"/>
    <w:rsid w:val="008275A3"/>
    <w:rsid w:val="00831B0B"/>
    <w:rsid w:val="00831B64"/>
    <w:rsid w:val="00832293"/>
    <w:rsid w:val="00833734"/>
    <w:rsid w:val="00835E7B"/>
    <w:rsid w:val="0083664C"/>
    <w:rsid w:val="0083704B"/>
    <w:rsid w:val="00843D10"/>
    <w:rsid w:val="00846200"/>
    <w:rsid w:val="008511AC"/>
    <w:rsid w:val="0085312B"/>
    <w:rsid w:val="00861097"/>
    <w:rsid w:val="0086363E"/>
    <w:rsid w:val="008639E6"/>
    <w:rsid w:val="00863A0C"/>
    <w:rsid w:val="00863BA7"/>
    <w:rsid w:val="008665CD"/>
    <w:rsid w:val="00871C3C"/>
    <w:rsid w:val="00874C8E"/>
    <w:rsid w:val="00875776"/>
    <w:rsid w:val="0087658E"/>
    <w:rsid w:val="008773FB"/>
    <w:rsid w:val="00877418"/>
    <w:rsid w:val="00877C19"/>
    <w:rsid w:val="008800B5"/>
    <w:rsid w:val="00882587"/>
    <w:rsid w:val="008829DD"/>
    <w:rsid w:val="00886670"/>
    <w:rsid w:val="0089235E"/>
    <w:rsid w:val="00893E18"/>
    <w:rsid w:val="00894BFC"/>
    <w:rsid w:val="00894FC8"/>
    <w:rsid w:val="00897F96"/>
    <w:rsid w:val="008A05DE"/>
    <w:rsid w:val="008A106B"/>
    <w:rsid w:val="008A1413"/>
    <w:rsid w:val="008A205F"/>
    <w:rsid w:val="008A22EA"/>
    <w:rsid w:val="008A4461"/>
    <w:rsid w:val="008B0C8E"/>
    <w:rsid w:val="008B189E"/>
    <w:rsid w:val="008B7CD2"/>
    <w:rsid w:val="008C098E"/>
    <w:rsid w:val="008C18D5"/>
    <w:rsid w:val="008C6F64"/>
    <w:rsid w:val="008D1766"/>
    <w:rsid w:val="008D17A0"/>
    <w:rsid w:val="008D22EA"/>
    <w:rsid w:val="008D288F"/>
    <w:rsid w:val="008D7D3B"/>
    <w:rsid w:val="008E1173"/>
    <w:rsid w:val="008E15C6"/>
    <w:rsid w:val="008E7AAA"/>
    <w:rsid w:val="008F4FBA"/>
    <w:rsid w:val="008F589E"/>
    <w:rsid w:val="008F7952"/>
    <w:rsid w:val="00900082"/>
    <w:rsid w:val="00901EF9"/>
    <w:rsid w:val="009021AB"/>
    <w:rsid w:val="00903041"/>
    <w:rsid w:val="009061E3"/>
    <w:rsid w:val="009073FB"/>
    <w:rsid w:val="00910524"/>
    <w:rsid w:val="00912E88"/>
    <w:rsid w:val="00914A02"/>
    <w:rsid w:val="00915F34"/>
    <w:rsid w:val="00916C71"/>
    <w:rsid w:val="00923600"/>
    <w:rsid w:val="00925965"/>
    <w:rsid w:val="00927574"/>
    <w:rsid w:val="00930EA4"/>
    <w:rsid w:val="00932526"/>
    <w:rsid w:val="009342F8"/>
    <w:rsid w:val="00936198"/>
    <w:rsid w:val="009363BA"/>
    <w:rsid w:val="00936924"/>
    <w:rsid w:val="00936C66"/>
    <w:rsid w:val="00941F13"/>
    <w:rsid w:val="00942362"/>
    <w:rsid w:val="00942DA7"/>
    <w:rsid w:val="00943AD1"/>
    <w:rsid w:val="0094409D"/>
    <w:rsid w:val="00945988"/>
    <w:rsid w:val="009535D5"/>
    <w:rsid w:val="00954EC1"/>
    <w:rsid w:val="00955136"/>
    <w:rsid w:val="00955318"/>
    <w:rsid w:val="009568D0"/>
    <w:rsid w:val="00957308"/>
    <w:rsid w:val="009614DF"/>
    <w:rsid w:val="009646EB"/>
    <w:rsid w:val="0096542F"/>
    <w:rsid w:val="0096637B"/>
    <w:rsid w:val="00966A4E"/>
    <w:rsid w:val="00967E73"/>
    <w:rsid w:val="009705EF"/>
    <w:rsid w:val="00971188"/>
    <w:rsid w:val="009714C7"/>
    <w:rsid w:val="009734CB"/>
    <w:rsid w:val="0098120A"/>
    <w:rsid w:val="00983210"/>
    <w:rsid w:val="0098380D"/>
    <w:rsid w:val="00984755"/>
    <w:rsid w:val="00987C36"/>
    <w:rsid w:val="009917FB"/>
    <w:rsid w:val="009955BB"/>
    <w:rsid w:val="009964B4"/>
    <w:rsid w:val="00997E82"/>
    <w:rsid w:val="009A3CF3"/>
    <w:rsid w:val="009A7EAD"/>
    <w:rsid w:val="009B33DD"/>
    <w:rsid w:val="009B343E"/>
    <w:rsid w:val="009B4C85"/>
    <w:rsid w:val="009C486B"/>
    <w:rsid w:val="009D0AA6"/>
    <w:rsid w:val="009D1F05"/>
    <w:rsid w:val="009D300A"/>
    <w:rsid w:val="009D332F"/>
    <w:rsid w:val="009D5CBC"/>
    <w:rsid w:val="009D68F9"/>
    <w:rsid w:val="009D6ACF"/>
    <w:rsid w:val="009D6B14"/>
    <w:rsid w:val="009E0831"/>
    <w:rsid w:val="009E24E5"/>
    <w:rsid w:val="009E278A"/>
    <w:rsid w:val="009E4013"/>
    <w:rsid w:val="009E5EE8"/>
    <w:rsid w:val="009F099C"/>
    <w:rsid w:val="009F10F6"/>
    <w:rsid w:val="009F1184"/>
    <w:rsid w:val="009F20EE"/>
    <w:rsid w:val="009F23FE"/>
    <w:rsid w:val="009F6404"/>
    <w:rsid w:val="009F7384"/>
    <w:rsid w:val="009F7867"/>
    <w:rsid w:val="00A04A21"/>
    <w:rsid w:val="00A13146"/>
    <w:rsid w:val="00A1343D"/>
    <w:rsid w:val="00A16336"/>
    <w:rsid w:val="00A21A9C"/>
    <w:rsid w:val="00A23B17"/>
    <w:rsid w:val="00A27F02"/>
    <w:rsid w:val="00A304E1"/>
    <w:rsid w:val="00A30632"/>
    <w:rsid w:val="00A31B44"/>
    <w:rsid w:val="00A3215D"/>
    <w:rsid w:val="00A32658"/>
    <w:rsid w:val="00A32E05"/>
    <w:rsid w:val="00A3327F"/>
    <w:rsid w:val="00A33CA3"/>
    <w:rsid w:val="00A35BC8"/>
    <w:rsid w:val="00A37A6E"/>
    <w:rsid w:val="00A42863"/>
    <w:rsid w:val="00A4398A"/>
    <w:rsid w:val="00A465A1"/>
    <w:rsid w:val="00A50D1F"/>
    <w:rsid w:val="00A50F30"/>
    <w:rsid w:val="00A511BC"/>
    <w:rsid w:val="00A54258"/>
    <w:rsid w:val="00A548EC"/>
    <w:rsid w:val="00A60747"/>
    <w:rsid w:val="00A60BB1"/>
    <w:rsid w:val="00A6316E"/>
    <w:rsid w:val="00A63F5D"/>
    <w:rsid w:val="00A64BBF"/>
    <w:rsid w:val="00A66D58"/>
    <w:rsid w:val="00A67C04"/>
    <w:rsid w:val="00A70225"/>
    <w:rsid w:val="00A70E7A"/>
    <w:rsid w:val="00A70F3B"/>
    <w:rsid w:val="00A71876"/>
    <w:rsid w:val="00A728EE"/>
    <w:rsid w:val="00A7714F"/>
    <w:rsid w:val="00A83991"/>
    <w:rsid w:val="00A90308"/>
    <w:rsid w:val="00A93961"/>
    <w:rsid w:val="00A94ABA"/>
    <w:rsid w:val="00A94BE5"/>
    <w:rsid w:val="00A9540B"/>
    <w:rsid w:val="00A95459"/>
    <w:rsid w:val="00AA00E9"/>
    <w:rsid w:val="00AA06B6"/>
    <w:rsid w:val="00AA18D7"/>
    <w:rsid w:val="00AA19AF"/>
    <w:rsid w:val="00AA4710"/>
    <w:rsid w:val="00AA4EA3"/>
    <w:rsid w:val="00AB2DF6"/>
    <w:rsid w:val="00AB4CB9"/>
    <w:rsid w:val="00AB5AD0"/>
    <w:rsid w:val="00AB7E28"/>
    <w:rsid w:val="00AC0615"/>
    <w:rsid w:val="00AC0A07"/>
    <w:rsid w:val="00AC1529"/>
    <w:rsid w:val="00AC19D5"/>
    <w:rsid w:val="00AC5B30"/>
    <w:rsid w:val="00AC7359"/>
    <w:rsid w:val="00AC7B5F"/>
    <w:rsid w:val="00AD1ECF"/>
    <w:rsid w:val="00AD217B"/>
    <w:rsid w:val="00AD5B27"/>
    <w:rsid w:val="00AD6E34"/>
    <w:rsid w:val="00AD73A4"/>
    <w:rsid w:val="00AE040F"/>
    <w:rsid w:val="00AE135F"/>
    <w:rsid w:val="00AE15C9"/>
    <w:rsid w:val="00AE4739"/>
    <w:rsid w:val="00AE4C45"/>
    <w:rsid w:val="00AE609C"/>
    <w:rsid w:val="00AF08A8"/>
    <w:rsid w:val="00AF0EC1"/>
    <w:rsid w:val="00AF3512"/>
    <w:rsid w:val="00AF456B"/>
    <w:rsid w:val="00AF48B7"/>
    <w:rsid w:val="00AF5E15"/>
    <w:rsid w:val="00AF726D"/>
    <w:rsid w:val="00AF73C4"/>
    <w:rsid w:val="00AF7AA0"/>
    <w:rsid w:val="00B01D8C"/>
    <w:rsid w:val="00B121FA"/>
    <w:rsid w:val="00B12997"/>
    <w:rsid w:val="00B141E3"/>
    <w:rsid w:val="00B20B29"/>
    <w:rsid w:val="00B210E4"/>
    <w:rsid w:val="00B21DA6"/>
    <w:rsid w:val="00B231B8"/>
    <w:rsid w:val="00B25B2F"/>
    <w:rsid w:val="00B2784B"/>
    <w:rsid w:val="00B27EF5"/>
    <w:rsid w:val="00B304E4"/>
    <w:rsid w:val="00B306EA"/>
    <w:rsid w:val="00B342F7"/>
    <w:rsid w:val="00B36E48"/>
    <w:rsid w:val="00B43391"/>
    <w:rsid w:val="00B539DD"/>
    <w:rsid w:val="00B54429"/>
    <w:rsid w:val="00B544DE"/>
    <w:rsid w:val="00B54EFF"/>
    <w:rsid w:val="00B55840"/>
    <w:rsid w:val="00B55E57"/>
    <w:rsid w:val="00B6133C"/>
    <w:rsid w:val="00B61B3F"/>
    <w:rsid w:val="00B621D9"/>
    <w:rsid w:val="00B63258"/>
    <w:rsid w:val="00B651EF"/>
    <w:rsid w:val="00B66A34"/>
    <w:rsid w:val="00B66FED"/>
    <w:rsid w:val="00B67825"/>
    <w:rsid w:val="00B67ADA"/>
    <w:rsid w:val="00B711EB"/>
    <w:rsid w:val="00B7204E"/>
    <w:rsid w:val="00B73FF3"/>
    <w:rsid w:val="00B74C43"/>
    <w:rsid w:val="00B77B09"/>
    <w:rsid w:val="00B80078"/>
    <w:rsid w:val="00B81744"/>
    <w:rsid w:val="00B828A4"/>
    <w:rsid w:val="00B85D5A"/>
    <w:rsid w:val="00B85D66"/>
    <w:rsid w:val="00B87208"/>
    <w:rsid w:val="00B92A96"/>
    <w:rsid w:val="00B93A3F"/>
    <w:rsid w:val="00B94D48"/>
    <w:rsid w:val="00B95C64"/>
    <w:rsid w:val="00BA0214"/>
    <w:rsid w:val="00BA094C"/>
    <w:rsid w:val="00BA15F1"/>
    <w:rsid w:val="00BA284F"/>
    <w:rsid w:val="00BA2C98"/>
    <w:rsid w:val="00BA37DA"/>
    <w:rsid w:val="00BA424E"/>
    <w:rsid w:val="00BA54D8"/>
    <w:rsid w:val="00BA741C"/>
    <w:rsid w:val="00BB63C7"/>
    <w:rsid w:val="00BC0D4F"/>
    <w:rsid w:val="00BC1F40"/>
    <w:rsid w:val="00BC3979"/>
    <w:rsid w:val="00BC5CF1"/>
    <w:rsid w:val="00BC5D20"/>
    <w:rsid w:val="00BD0D19"/>
    <w:rsid w:val="00BD167F"/>
    <w:rsid w:val="00BD4400"/>
    <w:rsid w:val="00BD5DFD"/>
    <w:rsid w:val="00BD6234"/>
    <w:rsid w:val="00BD6CC1"/>
    <w:rsid w:val="00BD7CB9"/>
    <w:rsid w:val="00BD7D7A"/>
    <w:rsid w:val="00BE2192"/>
    <w:rsid w:val="00BE2E90"/>
    <w:rsid w:val="00BE3F14"/>
    <w:rsid w:val="00BE6C51"/>
    <w:rsid w:val="00BE6CAC"/>
    <w:rsid w:val="00BE6D74"/>
    <w:rsid w:val="00BF47A5"/>
    <w:rsid w:val="00BF6515"/>
    <w:rsid w:val="00BF6892"/>
    <w:rsid w:val="00BF76F7"/>
    <w:rsid w:val="00BF7F13"/>
    <w:rsid w:val="00C00190"/>
    <w:rsid w:val="00C0066F"/>
    <w:rsid w:val="00C00C54"/>
    <w:rsid w:val="00C06B27"/>
    <w:rsid w:val="00C06C4D"/>
    <w:rsid w:val="00C06E41"/>
    <w:rsid w:val="00C07488"/>
    <w:rsid w:val="00C076B6"/>
    <w:rsid w:val="00C11657"/>
    <w:rsid w:val="00C11AF5"/>
    <w:rsid w:val="00C12752"/>
    <w:rsid w:val="00C148D7"/>
    <w:rsid w:val="00C220FE"/>
    <w:rsid w:val="00C24B92"/>
    <w:rsid w:val="00C32E6C"/>
    <w:rsid w:val="00C33E32"/>
    <w:rsid w:val="00C3424B"/>
    <w:rsid w:val="00C34939"/>
    <w:rsid w:val="00C364E1"/>
    <w:rsid w:val="00C37C39"/>
    <w:rsid w:val="00C410D0"/>
    <w:rsid w:val="00C41B2F"/>
    <w:rsid w:val="00C431E9"/>
    <w:rsid w:val="00C46621"/>
    <w:rsid w:val="00C50338"/>
    <w:rsid w:val="00C51A81"/>
    <w:rsid w:val="00C54FAA"/>
    <w:rsid w:val="00C56816"/>
    <w:rsid w:val="00C57525"/>
    <w:rsid w:val="00C57DD3"/>
    <w:rsid w:val="00C61AA2"/>
    <w:rsid w:val="00C641BC"/>
    <w:rsid w:val="00C72866"/>
    <w:rsid w:val="00C7299E"/>
    <w:rsid w:val="00C760C2"/>
    <w:rsid w:val="00C8054F"/>
    <w:rsid w:val="00C80AA0"/>
    <w:rsid w:val="00C84DBA"/>
    <w:rsid w:val="00C86064"/>
    <w:rsid w:val="00C86ACA"/>
    <w:rsid w:val="00C911E7"/>
    <w:rsid w:val="00C91F26"/>
    <w:rsid w:val="00C92EE3"/>
    <w:rsid w:val="00C94C13"/>
    <w:rsid w:val="00C960DF"/>
    <w:rsid w:val="00C96AD9"/>
    <w:rsid w:val="00CA04F8"/>
    <w:rsid w:val="00CA358A"/>
    <w:rsid w:val="00CA376F"/>
    <w:rsid w:val="00CA3845"/>
    <w:rsid w:val="00CA4CF0"/>
    <w:rsid w:val="00CA5391"/>
    <w:rsid w:val="00CA6FAA"/>
    <w:rsid w:val="00CA6FC3"/>
    <w:rsid w:val="00CB0047"/>
    <w:rsid w:val="00CB1623"/>
    <w:rsid w:val="00CB16A0"/>
    <w:rsid w:val="00CB1BAA"/>
    <w:rsid w:val="00CB3BB0"/>
    <w:rsid w:val="00CB678C"/>
    <w:rsid w:val="00CB6DCE"/>
    <w:rsid w:val="00CB7963"/>
    <w:rsid w:val="00CC0FC5"/>
    <w:rsid w:val="00CC4129"/>
    <w:rsid w:val="00CC6791"/>
    <w:rsid w:val="00CC6932"/>
    <w:rsid w:val="00CC6AEF"/>
    <w:rsid w:val="00CD0765"/>
    <w:rsid w:val="00CD4402"/>
    <w:rsid w:val="00CD6009"/>
    <w:rsid w:val="00CD6A3E"/>
    <w:rsid w:val="00CE0878"/>
    <w:rsid w:val="00CE0D43"/>
    <w:rsid w:val="00CE1AD8"/>
    <w:rsid w:val="00CE60A5"/>
    <w:rsid w:val="00CE616F"/>
    <w:rsid w:val="00CE6389"/>
    <w:rsid w:val="00CE6D87"/>
    <w:rsid w:val="00CE7AA9"/>
    <w:rsid w:val="00CF1048"/>
    <w:rsid w:val="00CF2CD1"/>
    <w:rsid w:val="00CF2F3D"/>
    <w:rsid w:val="00CF387C"/>
    <w:rsid w:val="00CF6730"/>
    <w:rsid w:val="00CF6F59"/>
    <w:rsid w:val="00CF77E6"/>
    <w:rsid w:val="00D0036F"/>
    <w:rsid w:val="00D0099C"/>
    <w:rsid w:val="00D00B6C"/>
    <w:rsid w:val="00D040A4"/>
    <w:rsid w:val="00D044D1"/>
    <w:rsid w:val="00D05C9F"/>
    <w:rsid w:val="00D0643A"/>
    <w:rsid w:val="00D06564"/>
    <w:rsid w:val="00D078F4"/>
    <w:rsid w:val="00D07987"/>
    <w:rsid w:val="00D07A02"/>
    <w:rsid w:val="00D105EC"/>
    <w:rsid w:val="00D10BCA"/>
    <w:rsid w:val="00D112EA"/>
    <w:rsid w:val="00D11DBE"/>
    <w:rsid w:val="00D1204F"/>
    <w:rsid w:val="00D13971"/>
    <w:rsid w:val="00D14034"/>
    <w:rsid w:val="00D145AE"/>
    <w:rsid w:val="00D15971"/>
    <w:rsid w:val="00D2031C"/>
    <w:rsid w:val="00D21790"/>
    <w:rsid w:val="00D25424"/>
    <w:rsid w:val="00D27A95"/>
    <w:rsid w:val="00D30720"/>
    <w:rsid w:val="00D369EC"/>
    <w:rsid w:val="00D41158"/>
    <w:rsid w:val="00D42F11"/>
    <w:rsid w:val="00D4305E"/>
    <w:rsid w:val="00D43A36"/>
    <w:rsid w:val="00D46952"/>
    <w:rsid w:val="00D507F9"/>
    <w:rsid w:val="00D526D5"/>
    <w:rsid w:val="00D53667"/>
    <w:rsid w:val="00D54A9E"/>
    <w:rsid w:val="00D54E45"/>
    <w:rsid w:val="00D57B54"/>
    <w:rsid w:val="00D57FF4"/>
    <w:rsid w:val="00D61213"/>
    <w:rsid w:val="00D617A5"/>
    <w:rsid w:val="00D619E3"/>
    <w:rsid w:val="00D61C7F"/>
    <w:rsid w:val="00D67232"/>
    <w:rsid w:val="00D67761"/>
    <w:rsid w:val="00D71723"/>
    <w:rsid w:val="00D71B92"/>
    <w:rsid w:val="00D746AE"/>
    <w:rsid w:val="00D74EC8"/>
    <w:rsid w:val="00D7578D"/>
    <w:rsid w:val="00D75B18"/>
    <w:rsid w:val="00D821BB"/>
    <w:rsid w:val="00D82C84"/>
    <w:rsid w:val="00D833E9"/>
    <w:rsid w:val="00D8688A"/>
    <w:rsid w:val="00D868E9"/>
    <w:rsid w:val="00D86B87"/>
    <w:rsid w:val="00D91A0B"/>
    <w:rsid w:val="00D9209E"/>
    <w:rsid w:val="00D920AF"/>
    <w:rsid w:val="00D9290C"/>
    <w:rsid w:val="00D94474"/>
    <w:rsid w:val="00D94BEA"/>
    <w:rsid w:val="00DA24F0"/>
    <w:rsid w:val="00DA331F"/>
    <w:rsid w:val="00DA4E43"/>
    <w:rsid w:val="00DA6378"/>
    <w:rsid w:val="00DA7265"/>
    <w:rsid w:val="00DA7E93"/>
    <w:rsid w:val="00DB1C91"/>
    <w:rsid w:val="00DB2A05"/>
    <w:rsid w:val="00DB2A58"/>
    <w:rsid w:val="00DB3BBD"/>
    <w:rsid w:val="00DB3F90"/>
    <w:rsid w:val="00DB4535"/>
    <w:rsid w:val="00DB53E9"/>
    <w:rsid w:val="00DB5965"/>
    <w:rsid w:val="00DC15BA"/>
    <w:rsid w:val="00DC5640"/>
    <w:rsid w:val="00DC6E05"/>
    <w:rsid w:val="00DC7393"/>
    <w:rsid w:val="00DC7E21"/>
    <w:rsid w:val="00DD25B1"/>
    <w:rsid w:val="00DD3470"/>
    <w:rsid w:val="00DD490A"/>
    <w:rsid w:val="00DD5278"/>
    <w:rsid w:val="00DD6544"/>
    <w:rsid w:val="00DD7891"/>
    <w:rsid w:val="00DE02FF"/>
    <w:rsid w:val="00DE1C0A"/>
    <w:rsid w:val="00DE1FE3"/>
    <w:rsid w:val="00DE361D"/>
    <w:rsid w:val="00DE38D5"/>
    <w:rsid w:val="00DE3CD0"/>
    <w:rsid w:val="00DE4D64"/>
    <w:rsid w:val="00DE54D0"/>
    <w:rsid w:val="00DE6A4C"/>
    <w:rsid w:val="00DF5A0A"/>
    <w:rsid w:val="00DF7565"/>
    <w:rsid w:val="00DF7E39"/>
    <w:rsid w:val="00E01A29"/>
    <w:rsid w:val="00E020E3"/>
    <w:rsid w:val="00E02D7C"/>
    <w:rsid w:val="00E05061"/>
    <w:rsid w:val="00E05375"/>
    <w:rsid w:val="00E05AA2"/>
    <w:rsid w:val="00E06F78"/>
    <w:rsid w:val="00E12ABC"/>
    <w:rsid w:val="00E16EF8"/>
    <w:rsid w:val="00E17E90"/>
    <w:rsid w:val="00E2074C"/>
    <w:rsid w:val="00E210BD"/>
    <w:rsid w:val="00E21827"/>
    <w:rsid w:val="00E23121"/>
    <w:rsid w:val="00E23671"/>
    <w:rsid w:val="00E243FA"/>
    <w:rsid w:val="00E24AEB"/>
    <w:rsid w:val="00E251DD"/>
    <w:rsid w:val="00E2613F"/>
    <w:rsid w:val="00E263D4"/>
    <w:rsid w:val="00E31A76"/>
    <w:rsid w:val="00E31D6E"/>
    <w:rsid w:val="00E333D1"/>
    <w:rsid w:val="00E34327"/>
    <w:rsid w:val="00E34F78"/>
    <w:rsid w:val="00E35659"/>
    <w:rsid w:val="00E3728F"/>
    <w:rsid w:val="00E47E29"/>
    <w:rsid w:val="00E53A69"/>
    <w:rsid w:val="00E53C97"/>
    <w:rsid w:val="00E53DC2"/>
    <w:rsid w:val="00E53FB7"/>
    <w:rsid w:val="00E552E0"/>
    <w:rsid w:val="00E61782"/>
    <w:rsid w:val="00E65489"/>
    <w:rsid w:val="00E65B94"/>
    <w:rsid w:val="00E670FA"/>
    <w:rsid w:val="00E67372"/>
    <w:rsid w:val="00E73DFE"/>
    <w:rsid w:val="00E752DB"/>
    <w:rsid w:val="00E769C5"/>
    <w:rsid w:val="00E76B0C"/>
    <w:rsid w:val="00E7748A"/>
    <w:rsid w:val="00E81D63"/>
    <w:rsid w:val="00E83E1A"/>
    <w:rsid w:val="00E85155"/>
    <w:rsid w:val="00E86E85"/>
    <w:rsid w:val="00E90610"/>
    <w:rsid w:val="00E9065F"/>
    <w:rsid w:val="00E908E0"/>
    <w:rsid w:val="00E90AE1"/>
    <w:rsid w:val="00E92061"/>
    <w:rsid w:val="00E92D97"/>
    <w:rsid w:val="00E94631"/>
    <w:rsid w:val="00E958EE"/>
    <w:rsid w:val="00EA00ED"/>
    <w:rsid w:val="00EA0B7F"/>
    <w:rsid w:val="00EA19D0"/>
    <w:rsid w:val="00EA442B"/>
    <w:rsid w:val="00EA59A3"/>
    <w:rsid w:val="00EA6335"/>
    <w:rsid w:val="00EB028F"/>
    <w:rsid w:val="00EB2020"/>
    <w:rsid w:val="00EB271A"/>
    <w:rsid w:val="00EB2E9A"/>
    <w:rsid w:val="00EB5514"/>
    <w:rsid w:val="00EB5979"/>
    <w:rsid w:val="00EB7F47"/>
    <w:rsid w:val="00EC0272"/>
    <w:rsid w:val="00EC0412"/>
    <w:rsid w:val="00EC3B9A"/>
    <w:rsid w:val="00EC3F1F"/>
    <w:rsid w:val="00EC6E8F"/>
    <w:rsid w:val="00EC77B4"/>
    <w:rsid w:val="00EC7C0F"/>
    <w:rsid w:val="00ED0FC5"/>
    <w:rsid w:val="00ED23FB"/>
    <w:rsid w:val="00ED2F08"/>
    <w:rsid w:val="00ED3677"/>
    <w:rsid w:val="00ED383C"/>
    <w:rsid w:val="00ED43E7"/>
    <w:rsid w:val="00ED4984"/>
    <w:rsid w:val="00ED50D2"/>
    <w:rsid w:val="00ED7025"/>
    <w:rsid w:val="00ED7CCF"/>
    <w:rsid w:val="00EE62E1"/>
    <w:rsid w:val="00EF1E32"/>
    <w:rsid w:val="00EF5CEA"/>
    <w:rsid w:val="00EF66FC"/>
    <w:rsid w:val="00EF7B93"/>
    <w:rsid w:val="00F00AB5"/>
    <w:rsid w:val="00F01461"/>
    <w:rsid w:val="00F03630"/>
    <w:rsid w:val="00F03E7F"/>
    <w:rsid w:val="00F052BE"/>
    <w:rsid w:val="00F05E6A"/>
    <w:rsid w:val="00F07860"/>
    <w:rsid w:val="00F115BB"/>
    <w:rsid w:val="00F13AA6"/>
    <w:rsid w:val="00F144AE"/>
    <w:rsid w:val="00F14951"/>
    <w:rsid w:val="00F14BB3"/>
    <w:rsid w:val="00F2012B"/>
    <w:rsid w:val="00F23520"/>
    <w:rsid w:val="00F2490C"/>
    <w:rsid w:val="00F25A67"/>
    <w:rsid w:val="00F27939"/>
    <w:rsid w:val="00F30033"/>
    <w:rsid w:val="00F31441"/>
    <w:rsid w:val="00F33E0A"/>
    <w:rsid w:val="00F34E93"/>
    <w:rsid w:val="00F34EB8"/>
    <w:rsid w:val="00F358E7"/>
    <w:rsid w:val="00F36240"/>
    <w:rsid w:val="00F37A6B"/>
    <w:rsid w:val="00F406F3"/>
    <w:rsid w:val="00F434E2"/>
    <w:rsid w:val="00F43F36"/>
    <w:rsid w:val="00F50B90"/>
    <w:rsid w:val="00F547B6"/>
    <w:rsid w:val="00F5661A"/>
    <w:rsid w:val="00F618A1"/>
    <w:rsid w:val="00F622F5"/>
    <w:rsid w:val="00F65337"/>
    <w:rsid w:val="00F65C1C"/>
    <w:rsid w:val="00F701E3"/>
    <w:rsid w:val="00F71494"/>
    <w:rsid w:val="00F71FF0"/>
    <w:rsid w:val="00F7246A"/>
    <w:rsid w:val="00F737DC"/>
    <w:rsid w:val="00F77026"/>
    <w:rsid w:val="00F87BFA"/>
    <w:rsid w:val="00F91464"/>
    <w:rsid w:val="00F917FB"/>
    <w:rsid w:val="00F91DB7"/>
    <w:rsid w:val="00F96807"/>
    <w:rsid w:val="00F971C6"/>
    <w:rsid w:val="00FA182B"/>
    <w:rsid w:val="00FA32E3"/>
    <w:rsid w:val="00FA3460"/>
    <w:rsid w:val="00FA505D"/>
    <w:rsid w:val="00FB5312"/>
    <w:rsid w:val="00FB5410"/>
    <w:rsid w:val="00FB6BDB"/>
    <w:rsid w:val="00FB7A98"/>
    <w:rsid w:val="00FC1100"/>
    <w:rsid w:val="00FC17B6"/>
    <w:rsid w:val="00FC1EA7"/>
    <w:rsid w:val="00FC2C5C"/>
    <w:rsid w:val="00FC39F2"/>
    <w:rsid w:val="00FC47A5"/>
    <w:rsid w:val="00FC5AAC"/>
    <w:rsid w:val="00FC782B"/>
    <w:rsid w:val="00FD0B45"/>
    <w:rsid w:val="00FD1BA6"/>
    <w:rsid w:val="00FD1DAF"/>
    <w:rsid w:val="00FD2218"/>
    <w:rsid w:val="00FD33CE"/>
    <w:rsid w:val="00FD3C0C"/>
    <w:rsid w:val="00FD793A"/>
    <w:rsid w:val="00FD79D4"/>
    <w:rsid w:val="00FE0915"/>
    <w:rsid w:val="00FE2A71"/>
    <w:rsid w:val="00FE4BBB"/>
    <w:rsid w:val="00FE7A1F"/>
    <w:rsid w:val="00FF0872"/>
    <w:rsid w:val="00FF7278"/>
    <w:rsid w:val="03225CE9"/>
    <w:rsid w:val="035C797A"/>
    <w:rsid w:val="06067491"/>
    <w:rsid w:val="06D63183"/>
    <w:rsid w:val="07303440"/>
    <w:rsid w:val="07E1187B"/>
    <w:rsid w:val="094D4724"/>
    <w:rsid w:val="09ED69F7"/>
    <w:rsid w:val="09FC441C"/>
    <w:rsid w:val="0A8F3F52"/>
    <w:rsid w:val="0C2545B8"/>
    <w:rsid w:val="0D191B48"/>
    <w:rsid w:val="0E4F63BB"/>
    <w:rsid w:val="101571CB"/>
    <w:rsid w:val="10AD298A"/>
    <w:rsid w:val="10FF4498"/>
    <w:rsid w:val="11100A55"/>
    <w:rsid w:val="13901EB6"/>
    <w:rsid w:val="13EE1626"/>
    <w:rsid w:val="14241CA4"/>
    <w:rsid w:val="1738699F"/>
    <w:rsid w:val="19DF45AE"/>
    <w:rsid w:val="1A974829"/>
    <w:rsid w:val="1B3C2E99"/>
    <w:rsid w:val="1BA24C47"/>
    <w:rsid w:val="1BE37A66"/>
    <w:rsid w:val="1C00147D"/>
    <w:rsid w:val="1C593354"/>
    <w:rsid w:val="1FF6169F"/>
    <w:rsid w:val="24DA321E"/>
    <w:rsid w:val="25926ADC"/>
    <w:rsid w:val="27556A94"/>
    <w:rsid w:val="2829546D"/>
    <w:rsid w:val="2844507B"/>
    <w:rsid w:val="28E20BF3"/>
    <w:rsid w:val="295F21EE"/>
    <w:rsid w:val="2A884CF3"/>
    <w:rsid w:val="2A941DF3"/>
    <w:rsid w:val="2ACF7D62"/>
    <w:rsid w:val="2AD51ED6"/>
    <w:rsid w:val="2D922411"/>
    <w:rsid w:val="2E845F7F"/>
    <w:rsid w:val="2F814F83"/>
    <w:rsid w:val="2FA1589C"/>
    <w:rsid w:val="3015556A"/>
    <w:rsid w:val="31AA703A"/>
    <w:rsid w:val="32975EDD"/>
    <w:rsid w:val="331D6769"/>
    <w:rsid w:val="34043A4F"/>
    <w:rsid w:val="3684748F"/>
    <w:rsid w:val="36A716A8"/>
    <w:rsid w:val="37DD5222"/>
    <w:rsid w:val="39474D95"/>
    <w:rsid w:val="39AD5B9E"/>
    <w:rsid w:val="3B2836A5"/>
    <w:rsid w:val="3C1D6578"/>
    <w:rsid w:val="3E794BBE"/>
    <w:rsid w:val="3F7F012E"/>
    <w:rsid w:val="435A1C08"/>
    <w:rsid w:val="43D91847"/>
    <w:rsid w:val="472655F1"/>
    <w:rsid w:val="47826EE1"/>
    <w:rsid w:val="47C9461F"/>
    <w:rsid w:val="4983601C"/>
    <w:rsid w:val="4992526E"/>
    <w:rsid w:val="4A9F1AED"/>
    <w:rsid w:val="4BB00515"/>
    <w:rsid w:val="4CE734C1"/>
    <w:rsid w:val="4D281451"/>
    <w:rsid w:val="4E56724C"/>
    <w:rsid w:val="516A7381"/>
    <w:rsid w:val="51830277"/>
    <w:rsid w:val="51BA0A47"/>
    <w:rsid w:val="52206E9B"/>
    <w:rsid w:val="558C5230"/>
    <w:rsid w:val="56647E66"/>
    <w:rsid w:val="56F83A0E"/>
    <w:rsid w:val="58D34B1A"/>
    <w:rsid w:val="5A8E18C1"/>
    <w:rsid w:val="5DA256D4"/>
    <w:rsid w:val="5E6C52B2"/>
    <w:rsid w:val="5FF71A4A"/>
    <w:rsid w:val="60B40282"/>
    <w:rsid w:val="616D2866"/>
    <w:rsid w:val="61C405C9"/>
    <w:rsid w:val="63F44FB3"/>
    <w:rsid w:val="65771A1C"/>
    <w:rsid w:val="65B4597B"/>
    <w:rsid w:val="663E7B8B"/>
    <w:rsid w:val="664B0EB8"/>
    <w:rsid w:val="67786A9E"/>
    <w:rsid w:val="679B7E8B"/>
    <w:rsid w:val="6AA01177"/>
    <w:rsid w:val="6BC278B2"/>
    <w:rsid w:val="6CE6697A"/>
    <w:rsid w:val="6D104F80"/>
    <w:rsid w:val="6D6C1CD1"/>
    <w:rsid w:val="6EE45F1C"/>
    <w:rsid w:val="6F685A10"/>
    <w:rsid w:val="6FF92490"/>
    <w:rsid w:val="740D6EC0"/>
    <w:rsid w:val="741457EF"/>
    <w:rsid w:val="742D48C4"/>
    <w:rsid w:val="747E747A"/>
    <w:rsid w:val="74D41854"/>
    <w:rsid w:val="755531C5"/>
    <w:rsid w:val="77E8263C"/>
    <w:rsid w:val="785E2511"/>
    <w:rsid w:val="7A2C137B"/>
    <w:rsid w:val="7B036350"/>
    <w:rsid w:val="7B584E5D"/>
    <w:rsid w:val="7B5B31C6"/>
    <w:rsid w:val="7B8F2B31"/>
    <w:rsid w:val="7B947789"/>
    <w:rsid w:val="7BA83B4A"/>
    <w:rsid w:val="7E6E38B3"/>
    <w:rsid w:val="DFDF9FD0"/>
    <w:rsid w:val="FE9B6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仿宋_GB2312" w:hAnsi="仿宋_GB2312" w:eastAsia="仿宋_GB2312" w:cs="Times New Roman"/>
      <w:kern w:val="2"/>
      <w:sz w:val="30"/>
      <w:szCs w:val="22"/>
      <w:lang w:val="en-US" w:eastAsia="zh-CN" w:bidi="ar-SA"/>
    </w:rPr>
  </w:style>
  <w:style w:type="paragraph" w:styleId="2">
    <w:name w:val="heading 1"/>
    <w:basedOn w:val="1"/>
    <w:next w:val="1"/>
    <w:link w:val="35"/>
    <w:qFormat/>
    <w:uiPriority w:val="9"/>
    <w:pPr>
      <w:keepNext/>
      <w:keepLines/>
      <w:numPr>
        <w:ilvl w:val="0"/>
        <w:numId w:val="1"/>
      </w:numPr>
      <w:ind w:firstLine="0" w:firstLineChars="0"/>
      <w:outlineLvl w:val="0"/>
    </w:pPr>
    <w:rPr>
      <w:rFonts w:eastAsia="黑体"/>
      <w:kern w:val="44"/>
    </w:rPr>
  </w:style>
  <w:style w:type="paragraph" w:styleId="3">
    <w:name w:val="heading 2"/>
    <w:basedOn w:val="1"/>
    <w:next w:val="1"/>
    <w:link w:val="36"/>
    <w:unhideWhenUsed/>
    <w:qFormat/>
    <w:uiPriority w:val="9"/>
    <w:pPr>
      <w:keepNext/>
      <w:keepLines/>
      <w:numPr>
        <w:ilvl w:val="0"/>
        <w:numId w:val="2"/>
      </w:numPr>
      <w:ind w:firstLine="0" w:firstLineChars="0"/>
      <w:outlineLvl w:val="1"/>
    </w:pPr>
    <w:rPr>
      <w:rFonts w:ascii="Arial" w:hAnsi="Arial" w:eastAsia="楷体"/>
      <w:b/>
    </w:rPr>
  </w:style>
  <w:style w:type="paragraph" w:styleId="4">
    <w:name w:val="heading 3"/>
    <w:basedOn w:val="1"/>
    <w:next w:val="1"/>
    <w:link w:val="37"/>
    <w:unhideWhenUsed/>
    <w:qFormat/>
    <w:uiPriority w:val="9"/>
    <w:pPr>
      <w:keepNext/>
      <w:keepLines/>
      <w:numPr>
        <w:ilvl w:val="0"/>
        <w:numId w:val="3"/>
      </w:numPr>
      <w:adjustRightInd w:val="0"/>
      <w:ind w:firstLine="0" w:firstLineChars="0"/>
      <w:jc w:val="left"/>
      <w:outlineLvl w:val="2"/>
    </w:pPr>
    <w:rPr>
      <w:b/>
    </w:rPr>
  </w:style>
  <w:style w:type="paragraph" w:styleId="5">
    <w:name w:val="heading 4"/>
    <w:basedOn w:val="1"/>
    <w:next w:val="1"/>
    <w:link w:val="38"/>
    <w:unhideWhenUsed/>
    <w:qFormat/>
    <w:uiPriority w:val="9"/>
    <w:pPr>
      <w:keepNext/>
      <w:keepLines/>
      <w:numPr>
        <w:ilvl w:val="0"/>
        <w:numId w:val="4"/>
      </w:numPr>
      <w:ind w:firstLine="0" w:firstLineChars="0"/>
      <w:outlineLvl w:val="3"/>
    </w:pPr>
    <w:rPr>
      <w:b/>
    </w:rPr>
  </w:style>
  <w:style w:type="paragraph" w:styleId="6">
    <w:name w:val="heading 5"/>
    <w:basedOn w:val="1"/>
    <w:next w:val="1"/>
    <w:link w:val="39"/>
    <w:unhideWhenUsed/>
    <w:qFormat/>
    <w:uiPriority w:val="9"/>
    <w:pPr>
      <w:keepNext/>
      <w:keepLines/>
      <w:spacing w:before="280" w:after="290" w:line="372" w:lineRule="auto"/>
      <w:outlineLvl w:val="4"/>
    </w:pPr>
    <w:rPr>
      <w:b/>
      <w:sz w:val="28"/>
    </w:rPr>
  </w:style>
  <w:style w:type="paragraph" w:styleId="7">
    <w:name w:val="heading 6"/>
    <w:basedOn w:val="1"/>
    <w:next w:val="1"/>
    <w:link w:val="40"/>
    <w:unhideWhenUsed/>
    <w:qFormat/>
    <w:uiPriority w:val="9"/>
    <w:pPr>
      <w:keepNext/>
      <w:keepLines/>
      <w:ind w:firstLine="0" w:firstLineChars="0"/>
      <w:jc w:val="center"/>
      <w:outlineLvl w:val="5"/>
    </w:pPr>
    <w:rPr>
      <w:rFonts w:ascii="Arial" w:hAnsi="Arial" w:eastAsia="方正小标宋简体"/>
      <w:sz w:val="44"/>
    </w:rPr>
  </w:style>
  <w:style w:type="paragraph" w:styleId="8">
    <w:name w:val="heading 7"/>
    <w:basedOn w:val="1"/>
    <w:next w:val="1"/>
    <w:link w:val="41"/>
    <w:unhideWhenUsed/>
    <w:qFormat/>
    <w:uiPriority w:val="0"/>
    <w:pPr>
      <w:keepNext/>
      <w:keepLines/>
      <w:spacing w:before="240" w:after="64" w:line="317" w:lineRule="auto"/>
      <w:outlineLvl w:val="6"/>
    </w:pPr>
    <w:rPr>
      <w:b/>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unhideWhenUsed/>
    <w:qFormat/>
    <w:uiPriority w:val="39"/>
    <w:pPr>
      <w:ind w:left="1800"/>
      <w:jc w:val="left"/>
    </w:pPr>
    <w:rPr>
      <w:rFonts w:asciiTheme="minorHAnsi" w:hAnsiTheme="minorHAnsi"/>
      <w:sz w:val="20"/>
      <w:szCs w:val="20"/>
    </w:rPr>
  </w:style>
  <w:style w:type="paragraph" w:styleId="10">
    <w:name w:val="annotation text"/>
    <w:basedOn w:val="1"/>
    <w:link w:val="42"/>
    <w:unhideWhenUsed/>
    <w:qFormat/>
    <w:uiPriority w:val="0"/>
    <w:pPr>
      <w:jc w:val="left"/>
    </w:pPr>
  </w:style>
  <w:style w:type="paragraph" w:styleId="11">
    <w:name w:val="toc 5"/>
    <w:basedOn w:val="1"/>
    <w:next w:val="1"/>
    <w:unhideWhenUsed/>
    <w:qFormat/>
    <w:uiPriority w:val="39"/>
    <w:pPr>
      <w:ind w:left="1200"/>
      <w:jc w:val="left"/>
    </w:pPr>
    <w:rPr>
      <w:rFonts w:asciiTheme="minorHAnsi" w:hAnsiTheme="minorHAnsi"/>
      <w:sz w:val="20"/>
      <w:szCs w:val="20"/>
    </w:rPr>
  </w:style>
  <w:style w:type="paragraph" w:styleId="12">
    <w:name w:val="toc 3"/>
    <w:basedOn w:val="1"/>
    <w:next w:val="1"/>
    <w:unhideWhenUsed/>
    <w:qFormat/>
    <w:uiPriority w:val="39"/>
    <w:pPr>
      <w:ind w:left="600"/>
      <w:jc w:val="left"/>
    </w:pPr>
    <w:rPr>
      <w:rFonts w:asciiTheme="minorHAnsi" w:hAnsiTheme="minorHAnsi"/>
      <w:sz w:val="20"/>
      <w:szCs w:val="20"/>
    </w:rPr>
  </w:style>
  <w:style w:type="paragraph" w:styleId="13">
    <w:name w:val="toc 8"/>
    <w:basedOn w:val="1"/>
    <w:next w:val="1"/>
    <w:unhideWhenUsed/>
    <w:qFormat/>
    <w:uiPriority w:val="39"/>
    <w:pPr>
      <w:ind w:left="2100"/>
      <w:jc w:val="left"/>
    </w:pPr>
    <w:rPr>
      <w:rFonts w:asciiTheme="minorHAnsi" w:hAnsiTheme="minorHAnsi"/>
      <w:sz w:val="20"/>
      <w:szCs w:val="20"/>
    </w:rPr>
  </w:style>
  <w:style w:type="paragraph" w:styleId="14">
    <w:name w:val="Balloon Text"/>
    <w:basedOn w:val="1"/>
    <w:link w:val="43"/>
    <w:qFormat/>
    <w:uiPriority w:val="0"/>
    <w:pPr>
      <w:spacing w:line="240" w:lineRule="auto"/>
    </w:pPr>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spacing w:before="240" w:after="120"/>
      <w:jc w:val="left"/>
    </w:pPr>
    <w:rPr>
      <w:rFonts w:asciiTheme="minorHAnsi" w:hAnsiTheme="minorHAnsi"/>
      <w:b/>
      <w:bCs/>
      <w:sz w:val="20"/>
      <w:szCs w:val="20"/>
    </w:rPr>
  </w:style>
  <w:style w:type="paragraph" w:styleId="18">
    <w:name w:val="toc 4"/>
    <w:basedOn w:val="1"/>
    <w:next w:val="1"/>
    <w:unhideWhenUsed/>
    <w:qFormat/>
    <w:uiPriority w:val="39"/>
    <w:pPr>
      <w:ind w:left="900"/>
      <w:jc w:val="left"/>
    </w:pPr>
    <w:rPr>
      <w:rFonts w:asciiTheme="minorHAnsi" w:hAnsiTheme="minorHAnsi"/>
      <w:sz w:val="20"/>
      <w:szCs w:val="20"/>
    </w:rPr>
  </w:style>
  <w:style w:type="paragraph" w:styleId="19">
    <w:name w:val="toc 6"/>
    <w:basedOn w:val="1"/>
    <w:next w:val="1"/>
    <w:unhideWhenUsed/>
    <w:qFormat/>
    <w:uiPriority w:val="39"/>
    <w:pPr>
      <w:ind w:left="1500"/>
      <w:jc w:val="left"/>
    </w:pPr>
    <w:rPr>
      <w:rFonts w:asciiTheme="minorHAnsi" w:hAnsiTheme="minorHAnsi"/>
      <w:sz w:val="20"/>
      <w:szCs w:val="20"/>
    </w:rPr>
  </w:style>
  <w:style w:type="paragraph" w:styleId="20">
    <w:name w:val="toc 2"/>
    <w:basedOn w:val="1"/>
    <w:next w:val="1"/>
    <w:unhideWhenUsed/>
    <w:qFormat/>
    <w:uiPriority w:val="39"/>
    <w:pPr>
      <w:spacing w:before="120"/>
      <w:ind w:left="300"/>
      <w:jc w:val="left"/>
    </w:pPr>
    <w:rPr>
      <w:rFonts w:asciiTheme="minorHAnsi" w:hAnsiTheme="minorHAnsi"/>
      <w:i/>
      <w:iCs/>
      <w:sz w:val="20"/>
      <w:szCs w:val="20"/>
    </w:rPr>
  </w:style>
  <w:style w:type="paragraph" w:styleId="21">
    <w:name w:val="toc 9"/>
    <w:basedOn w:val="1"/>
    <w:next w:val="1"/>
    <w:unhideWhenUsed/>
    <w:qFormat/>
    <w:uiPriority w:val="39"/>
    <w:pPr>
      <w:ind w:left="2400"/>
      <w:jc w:val="left"/>
    </w:pPr>
    <w:rPr>
      <w:rFonts w:asciiTheme="minorHAnsi" w:hAnsiTheme="minorHAnsi"/>
      <w:sz w:val="20"/>
      <w:szCs w:val="20"/>
    </w:rPr>
  </w:style>
  <w:style w:type="paragraph" w:styleId="22">
    <w:name w:val="HTML Preformatted"/>
    <w:basedOn w:val="1"/>
    <w:link w:val="44"/>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23">
    <w:name w:val="Title"/>
    <w:basedOn w:val="1"/>
    <w:next w:val="1"/>
    <w:link w:val="45"/>
    <w:qFormat/>
    <w:uiPriority w:val="0"/>
    <w:pPr>
      <w:spacing w:before="240" w:after="60"/>
      <w:jc w:val="center"/>
      <w:outlineLvl w:val="0"/>
    </w:pPr>
    <w:rPr>
      <w:rFonts w:asciiTheme="majorHAnsi" w:hAnsiTheme="majorHAnsi" w:eastAsiaTheme="majorEastAsia" w:cstheme="majorBidi"/>
      <w:b/>
      <w:bCs/>
      <w:sz w:val="32"/>
      <w:szCs w:val="32"/>
    </w:rPr>
  </w:style>
  <w:style w:type="paragraph" w:styleId="24">
    <w:name w:val="annotation subject"/>
    <w:basedOn w:val="10"/>
    <w:next w:val="10"/>
    <w:link w:val="77"/>
    <w:unhideWhenUsed/>
    <w:qFormat/>
    <w:uiPriority w:val="99"/>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FollowedHyperlink"/>
    <w:basedOn w:val="27"/>
    <w:unhideWhenUsed/>
    <w:qFormat/>
    <w:uiPriority w:val="99"/>
    <w:rPr>
      <w:color w:val="954F72" w:themeColor="followedHyperlink"/>
      <w:u w:val="single"/>
      <w14:textFill>
        <w14:solidFill>
          <w14:schemeClr w14:val="folHlink"/>
        </w14:solidFill>
      </w14:textFill>
    </w:rPr>
  </w:style>
  <w:style w:type="character" w:styleId="30">
    <w:name w:val="Emphasis"/>
    <w:qFormat/>
    <w:uiPriority w:val="0"/>
    <w:rPr>
      <w:rFonts w:ascii="Times New Roman" w:hAnsi="Times New Roman" w:eastAsia="楷体_GB2312"/>
      <w:b/>
      <w:sz w:val="24"/>
    </w:rPr>
  </w:style>
  <w:style w:type="character" w:styleId="31">
    <w:name w:val="Hyperlink"/>
    <w:basedOn w:val="27"/>
    <w:unhideWhenUsed/>
    <w:qFormat/>
    <w:uiPriority w:val="99"/>
    <w:rPr>
      <w:color w:val="0563C1" w:themeColor="hyperlink"/>
      <w:u w:val="single"/>
      <w14:textFill>
        <w14:solidFill>
          <w14:schemeClr w14:val="hlink"/>
        </w14:solidFill>
      </w14:textFill>
    </w:rPr>
  </w:style>
  <w:style w:type="character" w:styleId="32">
    <w:name w:val="annotation reference"/>
    <w:basedOn w:val="27"/>
    <w:unhideWhenUsed/>
    <w:qFormat/>
    <w:uiPriority w:val="0"/>
    <w:rPr>
      <w:sz w:val="21"/>
      <w:szCs w:val="21"/>
    </w:rPr>
  </w:style>
  <w:style w:type="character" w:customStyle="1" w:styleId="33">
    <w:name w:val="页眉 字符"/>
    <w:basedOn w:val="27"/>
    <w:link w:val="16"/>
    <w:qFormat/>
    <w:uiPriority w:val="99"/>
    <w:rPr>
      <w:sz w:val="18"/>
      <w:szCs w:val="18"/>
    </w:rPr>
  </w:style>
  <w:style w:type="character" w:customStyle="1" w:styleId="34">
    <w:name w:val="页脚 字符"/>
    <w:basedOn w:val="27"/>
    <w:link w:val="15"/>
    <w:qFormat/>
    <w:uiPriority w:val="99"/>
    <w:rPr>
      <w:sz w:val="18"/>
      <w:szCs w:val="18"/>
    </w:rPr>
  </w:style>
  <w:style w:type="character" w:customStyle="1" w:styleId="35">
    <w:name w:val="标题 1 字符"/>
    <w:basedOn w:val="27"/>
    <w:link w:val="2"/>
    <w:qFormat/>
    <w:uiPriority w:val="9"/>
    <w:rPr>
      <w:rFonts w:ascii="仿宋_GB2312" w:hAnsi="仿宋_GB2312" w:eastAsia="黑体" w:cs="Times New Roman"/>
      <w:kern w:val="44"/>
      <w:sz w:val="30"/>
    </w:rPr>
  </w:style>
  <w:style w:type="character" w:customStyle="1" w:styleId="36">
    <w:name w:val="标题 2 字符"/>
    <w:basedOn w:val="27"/>
    <w:link w:val="3"/>
    <w:qFormat/>
    <w:uiPriority w:val="9"/>
    <w:rPr>
      <w:rFonts w:ascii="Arial" w:hAnsi="Arial" w:eastAsia="楷体" w:cs="Times New Roman"/>
      <w:b/>
      <w:sz w:val="30"/>
    </w:rPr>
  </w:style>
  <w:style w:type="character" w:customStyle="1" w:styleId="37">
    <w:name w:val="标题 3 字符"/>
    <w:basedOn w:val="27"/>
    <w:link w:val="4"/>
    <w:qFormat/>
    <w:uiPriority w:val="9"/>
    <w:rPr>
      <w:rFonts w:ascii="仿宋_GB2312" w:hAnsi="仿宋_GB2312" w:eastAsia="仿宋_GB2312" w:cs="Times New Roman"/>
      <w:b/>
      <w:sz w:val="30"/>
    </w:rPr>
  </w:style>
  <w:style w:type="character" w:customStyle="1" w:styleId="38">
    <w:name w:val="标题 4 字符"/>
    <w:basedOn w:val="27"/>
    <w:link w:val="5"/>
    <w:qFormat/>
    <w:uiPriority w:val="9"/>
    <w:rPr>
      <w:rFonts w:ascii="仿宋_GB2312" w:hAnsi="仿宋_GB2312" w:eastAsia="仿宋_GB2312" w:cs="Times New Roman"/>
      <w:b/>
      <w:sz w:val="30"/>
    </w:rPr>
  </w:style>
  <w:style w:type="character" w:customStyle="1" w:styleId="39">
    <w:name w:val="标题 5 字符"/>
    <w:basedOn w:val="27"/>
    <w:link w:val="6"/>
    <w:qFormat/>
    <w:uiPriority w:val="9"/>
    <w:rPr>
      <w:rFonts w:ascii="仿宋_GB2312" w:hAnsi="仿宋_GB2312" w:eastAsia="仿宋_GB2312" w:cs="Times New Roman"/>
      <w:b/>
      <w:sz w:val="28"/>
    </w:rPr>
  </w:style>
  <w:style w:type="character" w:customStyle="1" w:styleId="40">
    <w:name w:val="标题 6 字符"/>
    <w:basedOn w:val="27"/>
    <w:link w:val="7"/>
    <w:qFormat/>
    <w:uiPriority w:val="9"/>
    <w:rPr>
      <w:rFonts w:ascii="Arial" w:hAnsi="Arial" w:eastAsia="方正小标宋简体" w:cs="Times New Roman"/>
      <w:sz w:val="44"/>
    </w:rPr>
  </w:style>
  <w:style w:type="character" w:customStyle="1" w:styleId="41">
    <w:name w:val="标题 7 字符"/>
    <w:basedOn w:val="27"/>
    <w:link w:val="8"/>
    <w:qFormat/>
    <w:uiPriority w:val="0"/>
    <w:rPr>
      <w:rFonts w:ascii="仿宋_GB2312" w:hAnsi="仿宋_GB2312" w:eastAsia="仿宋_GB2312" w:cs="Times New Roman"/>
      <w:b/>
      <w:sz w:val="24"/>
    </w:rPr>
  </w:style>
  <w:style w:type="character" w:customStyle="1" w:styleId="42">
    <w:name w:val="批注文字 字符"/>
    <w:basedOn w:val="27"/>
    <w:link w:val="10"/>
    <w:qFormat/>
    <w:uiPriority w:val="0"/>
    <w:rPr>
      <w:rFonts w:ascii="仿宋_GB2312" w:hAnsi="仿宋_GB2312" w:eastAsia="仿宋_GB2312" w:cs="Times New Roman"/>
      <w:sz w:val="30"/>
    </w:rPr>
  </w:style>
  <w:style w:type="character" w:customStyle="1" w:styleId="43">
    <w:name w:val="批注框文本 字符"/>
    <w:basedOn w:val="27"/>
    <w:link w:val="14"/>
    <w:qFormat/>
    <w:uiPriority w:val="0"/>
    <w:rPr>
      <w:rFonts w:ascii="仿宋_GB2312" w:hAnsi="仿宋_GB2312" w:eastAsia="仿宋_GB2312" w:cs="Times New Roman"/>
      <w:sz w:val="18"/>
      <w:szCs w:val="18"/>
    </w:rPr>
  </w:style>
  <w:style w:type="character" w:customStyle="1" w:styleId="44">
    <w:name w:val="HTML 预设格式 字符"/>
    <w:basedOn w:val="27"/>
    <w:link w:val="22"/>
    <w:qFormat/>
    <w:uiPriority w:val="0"/>
    <w:rPr>
      <w:rFonts w:ascii="宋体" w:hAnsi="宋体" w:eastAsia="宋体" w:cs="Times New Roman"/>
      <w:kern w:val="0"/>
      <w:sz w:val="24"/>
      <w:szCs w:val="24"/>
    </w:rPr>
  </w:style>
  <w:style w:type="character" w:customStyle="1" w:styleId="45">
    <w:name w:val="标题 字符"/>
    <w:basedOn w:val="27"/>
    <w:link w:val="23"/>
    <w:qFormat/>
    <w:uiPriority w:val="0"/>
    <w:rPr>
      <w:rFonts w:asciiTheme="majorHAnsi" w:hAnsiTheme="majorHAnsi" w:eastAsiaTheme="majorEastAsia" w:cstheme="majorBidi"/>
      <w:b/>
      <w:bCs/>
      <w:sz w:val="32"/>
      <w:szCs w:val="32"/>
    </w:rPr>
  </w:style>
  <w:style w:type="paragraph" w:customStyle="1" w:styleId="46">
    <w:name w:val="表头2"/>
    <w:basedOn w:val="47"/>
    <w:qFormat/>
    <w:uiPriority w:val="0"/>
    <w:rPr>
      <w:sz w:val="21"/>
    </w:rPr>
  </w:style>
  <w:style w:type="paragraph" w:customStyle="1" w:styleId="47">
    <w:name w:val="表头"/>
    <w:basedOn w:val="48"/>
    <w:link w:val="49"/>
    <w:qFormat/>
    <w:uiPriority w:val="0"/>
    <w:pPr>
      <w:jc w:val="center"/>
    </w:pPr>
    <w:rPr>
      <w:b/>
      <w:sz w:val="24"/>
    </w:rPr>
  </w:style>
  <w:style w:type="paragraph" w:customStyle="1" w:styleId="48">
    <w:name w:val="表格"/>
    <w:basedOn w:val="1"/>
    <w:qFormat/>
    <w:uiPriority w:val="0"/>
    <w:pPr>
      <w:spacing w:line="288" w:lineRule="auto"/>
    </w:pPr>
    <w:rPr>
      <w:rFonts w:ascii="Times New Roman" w:hAnsi="Times New Roman" w:eastAsia="宋体"/>
      <w:sz w:val="21"/>
    </w:rPr>
  </w:style>
  <w:style w:type="character" w:customStyle="1" w:styleId="49">
    <w:name w:val="表头 Char Char"/>
    <w:link w:val="47"/>
    <w:qFormat/>
    <w:uiPriority w:val="0"/>
    <w:rPr>
      <w:rFonts w:ascii="Times New Roman" w:hAnsi="Times New Roman" w:eastAsia="宋体" w:cs="Times New Roman"/>
      <w:b/>
      <w:sz w:val="24"/>
    </w:rPr>
  </w:style>
  <w:style w:type="paragraph" w:customStyle="1" w:styleId="50">
    <w:name w:val="正文1"/>
    <w:basedOn w:val="1"/>
    <w:qFormat/>
    <w:uiPriority w:val="0"/>
    <w:pPr>
      <w:ind w:firstLine="600"/>
    </w:pPr>
    <w:rPr>
      <w:rFonts w:ascii="Times New Roman" w:hAnsi="Times New Roman"/>
    </w:rPr>
  </w:style>
  <w:style w:type="paragraph" w:customStyle="1" w:styleId="51">
    <w:name w:val="列表段落1"/>
    <w:basedOn w:val="1"/>
    <w:unhideWhenUsed/>
    <w:qFormat/>
    <w:uiPriority w:val="99"/>
    <w:pPr>
      <w:ind w:firstLine="420"/>
    </w:pPr>
  </w:style>
  <w:style w:type="character" w:customStyle="1" w:styleId="52">
    <w:name w:val="font71"/>
    <w:basedOn w:val="27"/>
    <w:qFormat/>
    <w:uiPriority w:val="0"/>
    <w:rPr>
      <w:rFonts w:hint="eastAsia" w:ascii="宋体" w:hAnsi="宋体" w:eastAsia="宋体" w:cs="宋体"/>
      <w:color w:val="000000"/>
      <w:sz w:val="24"/>
      <w:szCs w:val="24"/>
      <w:u w:val="none"/>
    </w:rPr>
  </w:style>
  <w:style w:type="character" w:customStyle="1" w:styleId="53">
    <w:name w:val="font41"/>
    <w:basedOn w:val="27"/>
    <w:qFormat/>
    <w:uiPriority w:val="0"/>
    <w:rPr>
      <w:rFonts w:hint="eastAsia" w:ascii="宋体" w:hAnsi="宋体" w:eastAsia="宋体" w:cs="宋体"/>
      <w:color w:val="000000"/>
      <w:sz w:val="24"/>
      <w:szCs w:val="24"/>
      <w:u w:val="none"/>
    </w:rPr>
  </w:style>
  <w:style w:type="character" w:customStyle="1" w:styleId="54">
    <w:name w:val="font31"/>
    <w:basedOn w:val="27"/>
    <w:qFormat/>
    <w:uiPriority w:val="0"/>
    <w:rPr>
      <w:rFonts w:hint="default" w:ascii="Times New Roman" w:hAnsi="Times New Roman" w:cs="Times New Roman"/>
      <w:color w:val="000000"/>
      <w:sz w:val="24"/>
      <w:szCs w:val="24"/>
      <w:u w:val="none"/>
    </w:rPr>
  </w:style>
  <w:style w:type="character" w:customStyle="1" w:styleId="55">
    <w:name w:val="font01"/>
    <w:basedOn w:val="27"/>
    <w:qFormat/>
    <w:uiPriority w:val="0"/>
    <w:rPr>
      <w:rFonts w:hint="default" w:ascii="Times New Roman" w:hAnsi="Times New Roman" w:cs="Times New Roman"/>
      <w:color w:val="000000"/>
      <w:sz w:val="24"/>
      <w:szCs w:val="24"/>
      <w:u w:val="none"/>
    </w:rPr>
  </w:style>
  <w:style w:type="character" w:customStyle="1" w:styleId="56">
    <w:name w:val="font11"/>
    <w:basedOn w:val="27"/>
    <w:qFormat/>
    <w:uiPriority w:val="0"/>
    <w:rPr>
      <w:rFonts w:hint="eastAsia" w:ascii="宋体" w:hAnsi="宋体" w:eastAsia="宋体" w:cs="宋体"/>
      <w:color w:val="000000"/>
      <w:sz w:val="24"/>
      <w:szCs w:val="24"/>
      <w:u w:val="none"/>
    </w:rPr>
  </w:style>
  <w:style w:type="character" w:customStyle="1" w:styleId="57">
    <w:name w:val="font51"/>
    <w:basedOn w:val="27"/>
    <w:qFormat/>
    <w:uiPriority w:val="0"/>
    <w:rPr>
      <w:rFonts w:hint="default" w:ascii="Times New Roman" w:hAnsi="Times New Roman" w:cs="Times New Roman"/>
      <w:color w:val="000000"/>
      <w:sz w:val="24"/>
      <w:szCs w:val="24"/>
      <w:u w:val="none"/>
    </w:rPr>
  </w:style>
  <w:style w:type="character" w:customStyle="1" w:styleId="58">
    <w:name w:val="font21"/>
    <w:basedOn w:val="27"/>
    <w:qFormat/>
    <w:uiPriority w:val="0"/>
    <w:rPr>
      <w:rFonts w:hint="eastAsia" w:ascii="宋体" w:hAnsi="宋体" w:eastAsia="宋体" w:cs="宋体"/>
      <w:color w:val="000000"/>
      <w:sz w:val="24"/>
      <w:szCs w:val="24"/>
      <w:u w:val="none"/>
    </w:rPr>
  </w:style>
  <w:style w:type="character" w:customStyle="1" w:styleId="59">
    <w:name w:val="font61"/>
    <w:basedOn w:val="27"/>
    <w:qFormat/>
    <w:uiPriority w:val="0"/>
    <w:rPr>
      <w:rFonts w:hint="default" w:ascii="Times New Roman" w:hAnsi="Times New Roman" w:cs="Times New Roman"/>
      <w:color w:val="000000"/>
      <w:sz w:val="24"/>
      <w:szCs w:val="24"/>
      <w:u w:val="none"/>
    </w:rPr>
  </w:style>
  <w:style w:type="paragraph" w:customStyle="1" w:styleId="60">
    <w:name w:val="WPSOffice手动目录 1"/>
    <w:qFormat/>
    <w:uiPriority w:val="0"/>
    <w:rPr>
      <w:rFonts w:ascii="Times New Roman" w:hAnsi="Times New Roman" w:eastAsia="宋体" w:cs="Times New Roman"/>
      <w:lang w:val="en-US" w:eastAsia="zh-CN" w:bidi="ar-SA"/>
    </w:rPr>
  </w:style>
  <w:style w:type="paragraph" w:customStyle="1" w:styleId="6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63">
    <w:name w:val="TOC 标题1"/>
    <w:basedOn w:val="2"/>
    <w:next w:val="1"/>
    <w:unhideWhenUsed/>
    <w:qFormat/>
    <w:uiPriority w:val="39"/>
    <w:pPr>
      <w:widowControl/>
      <w:numPr>
        <w:numId w:val="0"/>
      </w:numPr>
      <w:spacing w:before="480" w:line="276" w:lineRule="auto"/>
      <w:jc w:val="left"/>
      <w:outlineLvl w:val="9"/>
    </w:pPr>
    <w:rPr>
      <w:rFonts w:asciiTheme="majorHAnsi" w:hAnsiTheme="majorHAnsi" w:eastAsiaTheme="majorEastAsia" w:cstheme="majorBidi"/>
      <w:bCs/>
      <w:color w:val="2F5597" w:themeColor="accent1" w:themeShade="BF"/>
      <w:kern w:val="0"/>
      <w:sz w:val="28"/>
      <w:szCs w:val="28"/>
    </w:rPr>
  </w:style>
  <w:style w:type="paragraph" w:customStyle="1" w:styleId="64">
    <w:name w:val="TOC 标题2"/>
    <w:basedOn w:val="2"/>
    <w:next w:val="1"/>
    <w:unhideWhenUsed/>
    <w:qFormat/>
    <w:uiPriority w:val="39"/>
    <w:pPr>
      <w:widowControl/>
      <w:numPr>
        <w:numId w:val="0"/>
      </w:numPr>
      <w:spacing w:before="240" w:line="259" w:lineRule="auto"/>
      <w:jc w:val="left"/>
      <w:outlineLvl w:val="9"/>
    </w:pPr>
    <w:rPr>
      <w:rFonts w:asciiTheme="majorHAnsi" w:hAnsiTheme="majorHAnsi" w:eastAsiaTheme="majorEastAsia" w:cstheme="majorBidi"/>
      <w:color w:val="2F5597" w:themeColor="accent1" w:themeShade="BF"/>
      <w:kern w:val="0"/>
      <w:szCs w:val="32"/>
    </w:rPr>
  </w:style>
  <w:style w:type="character" w:customStyle="1" w:styleId="65">
    <w:name w:val="未处理的提及1"/>
    <w:basedOn w:val="27"/>
    <w:unhideWhenUsed/>
    <w:qFormat/>
    <w:uiPriority w:val="99"/>
    <w:rPr>
      <w:color w:val="605E5C"/>
      <w:shd w:val="clear" w:color="auto" w:fill="E1DFDD"/>
    </w:rPr>
  </w:style>
  <w:style w:type="paragraph" w:customStyle="1" w:styleId="66">
    <w:name w:val="TOC 标题3"/>
    <w:basedOn w:val="2"/>
    <w:next w:val="1"/>
    <w:unhideWhenUsed/>
    <w:qFormat/>
    <w:uiPriority w:val="39"/>
    <w:pPr>
      <w:widowControl/>
      <w:numPr>
        <w:numId w:val="0"/>
      </w:numPr>
      <w:spacing w:before="240" w:line="259" w:lineRule="auto"/>
      <w:jc w:val="left"/>
      <w:outlineLvl w:val="9"/>
    </w:pPr>
    <w:rPr>
      <w:rFonts w:asciiTheme="majorHAnsi" w:hAnsiTheme="majorHAnsi" w:eastAsiaTheme="majorEastAsia" w:cstheme="majorBidi"/>
      <w:color w:val="2F5597" w:themeColor="accent1" w:themeShade="BF"/>
      <w:kern w:val="0"/>
      <w:szCs w:val="32"/>
    </w:rPr>
  </w:style>
  <w:style w:type="character" w:customStyle="1" w:styleId="67">
    <w:name w:val="未处理的提及2"/>
    <w:basedOn w:val="27"/>
    <w:unhideWhenUsed/>
    <w:qFormat/>
    <w:uiPriority w:val="99"/>
    <w:rPr>
      <w:color w:val="605E5C"/>
      <w:shd w:val="clear" w:color="auto" w:fill="E1DFDD"/>
    </w:rPr>
  </w:style>
  <w:style w:type="paragraph" w:customStyle="1" w:styleId="68">
    <w:name w:val="Char1"/>
    <w:basedOn w:val="1"/>
    <w:qFormat/>
    <w:uiPriority w:val="0"/>
    <w:pPr>
      <w:spacing w:line="240" w:lineRule="auto"/>
      <w:ind w:firstLine="0" w:firstLineChars="0"/>
    </w:pPr>
    <w:rPr>
      <w:rFonts w:ascii="Times New Roman" w:hAnsi="Times New Roman"/>
      <w:szCs w:val="24"/>
    </w:rPr>
  </w:style>
  <w:style w:type="paragraph" w:customStyle="1" w:styleId="69">
    <w:name w:val="列表段落2"/>
    <w:basedOn w:val="1"/>
    <w:unhideWhenUsed/>
    <w:qFormat/>
    <w:uiPriority w:val="99"/>
    <w:pPr>
      <w:ind w:firstLine="420"/>
    </w:pPr>
  </w:style>
  <w:style w:type="paragraph" w:customStyle="1" w:styleId="70">
    <w:name w:val="TOC 标题4"/>
    <w:basedOn w:val="2"/>
    <w:next w:val="1"/>
    <w:unhideWhenUsed/>
    <w:qFormat/>
    <w:uiPriority w:val="39"/>
    <w:pPr>
      <w:widowControl/>
      <w:numPr>
        <w:numId w:val="0"/>
      </w:numPr>
      <w:spacing w:before="480" w:line="276" w:lineRule="auto"/>
      <w:jc w:val="left"/>
      <w:outlineLvl w:val="9"/>
    </w:pPr>
    <w:rPr>
      <w:rFonts w:asciiTheme="majorHAnsi" w:hAnsiTheme="majorHAnsi" w:eastAsiaTheme="majorEastAsia" w:cstheme="majorBidi"/>
      <w:b/>
      <w:bCs/>
      <w:color w:val="2F5597" w:themeColor="accent1" w:themeShade="BF"/>
      <w:kern w:val="0"/>
      <w:sz w:val="28"/>
      <w:szCs w:val="28"/>
    </w:rPr>
  </w:style>
  <w:style w:type="paragraph" w:customStyle="1" w:styleId="71">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72">
    <w:name w:val="font5"/>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18"/>
      <w:szCs w:val="18"/>
    </w:rPr>
  </w:style>
  <w:style w:type="paragraph" w:customStyle="1" w:styleId="73">
    <w:name w:val="xl1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bottom"/>
    </w:pPr>
    <w:rPr>
      <w:rFonts w:ascii="宋体" w:hAnsi="宋体" w:eastAsia="宋体" w:cs="宋体"/>
      <w:kern w:val="0"/>
      <w:sz w:val="22"/>
    </w:rPr>
  </w:style>
  <w:style w:type="paragraph" w:customStyle="1" w:styleId="74">
    <w:name w:val="xl12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bottom"/>
    </w:pPr>
    <w:rPr>
      <w:rFonts w:ascii="宋体" w:hAnsi="宋体" w:eastAsia="宋体" w:cs="宋体"/>
      <w:kern w:val="0"/>
      <w:sz w:val="22"/>
    </w:rPr>
  </w:style>
  <w:style w:type="paragraph" w:customStyle="1" w:styleId="75">
    <w:name w:val="xl12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pPr>
    <w:rPr>
      <w:rFonts w:ascii="宋体" w:hAnsi="宋体" w:eastAsia="宋体" w:cs="宋体"/>
      <w:kern w:val="0"/>
      <w:sz w:val="22"/>
    </w:rPr>
  </w:style>
  <w:style w:type="paragraph" w:customStyle="1" w:styleId="76">
    <w:name w:val="TOC 标题5"/>
    <w:basedOn w:val="2"/>
    <w:next w:val="1"/>
    <w:unhideWhenUsed/>
    <w:qFormat/>
    <w:uiPriority w:val="39"/>
    <w:pPr>
      <w:widowControl/>
      <w:numPr>
        <w:numId w:val="0"/>
      </w:numPr>
      <w:spacing w:before="24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77">
    <w:name w:val="批注主题 字符"/>
    <w:basedOn w:val="42"/>
    <w:link w:val="24"/>
    <w:semiHidden/>
    <w:qFormat/>
    <w:uiPriority w:val="99"/>
    <w:rPr>
      <w:rFonts w:ascii="仿宋_GB2312" w:hAnsi="仿宋_GB2312" w:eastAsia="仿宋_GB2312" w:cs="Times New Roman"/>
      <w:b/>
      <w:bCs/>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135</Pages>
  <Words>14918</Words>
  <Characters>85034</Characters>
  <Lines>708</Lines>
  <Paragraphs>199</Paragraphs>
  <TotalTime>22</TotalTime>
  <ScaleCrop>false</ScaleCrop>
  <LinksUpToDate>false</LinksUpToDate>
  <CharactersWithSpaces>99753</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2021-05-31T21:59:00Z</dcterms:created>
  <dc:creator>user</dc:creator>
  <cp:lastModifiedBy>刘颖</cp:lastModifiedBy>
  <dcterms:modified xsi:type="dcterms:W3CDTF">2022-12-30T09:34:17Z</dcterms:modified>
  <dc:title>中国银保监会保险业监管数据标准化规范</dc:title>
  <cp:revision>963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C99BE47573884357B0C3440836AAE252</vt:lpwstr>
  </property>
</Properties>
</file>