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36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附件5</w:t>
      </w:r>
    </w:p>
    <w:p w14:paraId="24C6C569">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2018年财产保险公司服务评价定量指标统计指引</w:t>
      </w:r>
    </w:p>
    <w:p w14:paraId="1CF2B5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总体填报说明：</w:t>
      </w:r>
    </w:p>
    <w:p w14:paraId="01040D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1.统计期开始时间为2017年1月1日00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00,结束时间为2017年12月31日23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59。</w:t>
      </w:r>
    </w:p>
    <w:p w14:paraId="69B32D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统计表中的“地区”按原保监会派出机构监管辖区进行划分。统计期内，保险公司在原保监会派出机构监管辖区内设有分支机构的，必须报送相应的定量指标数据。保险公司分支机构设立时间以保监会及其派出机构批复的成立日期为准。</w:t>
      </w:r>
    </w:p>
    <w:p w14:paraId="4B05A1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3.百分比以小数计，精确到小数点后四位，按照四舍五入法计算，如99.11%应计成0.9911。</w:t>
      </w:r>
    </w:p>
    <w:p w14:paraId="2CC0C2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4.以天数为单位的指标结果，以小数计，精确到小数点后四位，按照四舍五入法计算。</w:t>
      </w:r>
    </w:p>
    <w:p w14:paraId="60033B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5.对于金额类数据，统一以元为单位报送，精确到小数点后两位。</w:t>
      </w:r>
    </w:p>
    <w:p w14:paraId="53652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6.对于时间类数据，如公司能精确到时分秒的，按年月日时分秒格式报送，如：2016-01-0100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01,参与计算时按实际值计算。如时间类数据中的起止时间无法精确到时分秒的，应按年月日格式报送，如：2016-01-01,计算时先对起止时间向下取整数日，然后参与计算时按T+1处理，其中T=终期(向下取整数日)-起期(向下取整数日)。</w:t>
      </w:r>
    </w:p>
    <w:p w14:paraId="704E4F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7.涉及共保业务的指标数据由主承保公司负责报送，其他公司不必填报。</w:t>
      </w:r>
    </w:p>
    <w:p w14:paraId="10477D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8.除电话呼入人工接通率、客服代表服务满意率指标以外无法拆分至保险公司分支机构对应的监管辖区或者直接归属于保险公司总公司的定量指标数据，统一纳入“总公司直属(含虚拟)”项下进行报送。</w:t>
      </w:r>
    </w:p>
    <w:p w14:paraId="70452B30">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电话类指标</w:t>
      </w:r>
    </w:p>
    <w:p w14:paraId="03E3118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电话呼入人工接通率</w:t>
      </w:r>
    </w:p>
    <w:p w14:paraId="30F2D4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计算公式：电话呼入人工接通率=消费者来电选择人工服务键后专线人员接通的电话数/消费者请求人工服务电话数×100%</w:t>
      </w:r>
    </w:p>
    <w:p w14:paraId="1BF1F02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客服代表服务满意率</w:t>
      </w:r>
    </w:p>
    <w:p w14:paraId="25B5E4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计算公式：客服代表服务满意率=消费者评价满意笔数/发起满意度调查后消费者有效评价笔数×100%</w:t>
      </w:r>
    </w:p>
    <w:p w14:paraId="728DF08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填报说明：</w:t>
      </w:r>
    </w:p>
    <w:p w14:paraId="38E4D7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1.报数口径：</w:t>
      </w:r>
    </w:p>
    <w:p w14:paraId="24C34C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(1)以消费者来电时间为准，来电时间在统计期内的均属于报送范围。</w:t>
      </w:r>
    </w:p>
    <w:p w14:paraId="3525D0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(2)只报送保险公司客服电话中心受理的电话，不含电销电话中心的电话。</w:t>
      </w:r>
    </w:p>
    <w:p w14:paraId="475911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2.计算规则：</w:t>
      </w:r>
    </w:p>
    <w:p w14:paraId="22B91A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(1)消费者请求人工服务电话数是指统计期内请求人工服务的电话笔数。</w:t>
      </w:r>
    </w:p>
    <w:p w14:paraId="76E9C9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(2)消费者来电选择人工服务键后专线人员接通的电话数是指统计期内请求人工服务并被人工应答的电话笔数。</w:t>
      </w:r>
    </w:p>
    <w:p w14:paraId="228A84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(3)发起满意度调查后消费者有效评价笔数是指统计期内消费者来电通话完成，保险公司发起满意度调查后，消费者对评价结果予以直接回应的笔数。消费者明确拒绝进行评价或未反馈评价结果的不计入。</w:t>
      </w:r>
    </w:p>
    <w:p w14:paraId="65DE3C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(4)满意度调查评价选项设置“非常不满意”、“不满意”、“满意”和“非常满意”4档。消费者反馈其他评价结果的，视同未反馈评价结果处理。</w:t>
      </w:r>
    </w:p>
    <w:p w14:paraId="652462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(5)消费者评价满意笔数是指统计期内发起满意度调查后消费者评价“满意”和“非常满意”的笔数。</w:t>
      </w:r>
    </w:p>
    <w:p w14:paraId="69332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(6)计算客服代表服务满意率指标时，通话时长小于60秒的电话在计算该指标的分子分母数据中同时予以剔除。</w:t>
      </w:r>
    </w:p>
    <w:p w14:paraId="7C4CD1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3.特别说明：</w:t>
      </w:r>
    </w:p>
    <w:p w14:paraId="280223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(1)各监管辖区分支机构指标数据统一使用总公司数据代替。</w:t>
      </w:r>
    </w:p>
    <w:p w14:paraId="661EF0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(2)不区分满意度评价调查渠道差异。</w:t>
      </w:r>
    </w:p>
    <w:p w14:paraId="10A689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(3)发起满意度调查比例=保险公司发起满意度调查的笔数/消费者来电选择人工服务键后专线人员接通的电话数×100%(上述公式计算时，分子分母须剔除通话时长小于60秒的电话数)。发起满意度调查比例不得低于25%。</w:t>
      </w:r>
    </w:p>
    <w:p w14:paraId="24321127">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通话清单数据涉及的字段及说明</w:t>
      </w:r>
    </w:p>
    <w:p w14:paraId="492E09D0">
      <w:pPr>
        <w:spacing w:line="23" w:lineRule="exact"/>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86"/>
        <w:gridCol w:w="3822"/>
        <w:gridCol w:w="1906"/>
      </w:tblGrid>
      <w:tr w14:paraId="1F6A8037">
        <w:trPr>
          <w:trHeight w:val="324" w:hRule="atLeast"/>
        </w:trPr>
        <w:tc>
          <w:tcPr>
            <w:tcW w:w="1555" w:type="pct"/>
            <w:vAlign w:val="center"/>
          </w:tcPr>
          <w:p w14:paraId="365F1C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数据项</w:t>
            </w:r>
          </w:p>
        </w:tc>
        <w:tc>
          <w:tcPr>
            <w:tcW w:w="2298" w:type="pct"/>
            <w:vAlign w:val="center"/>
          </w:tcPr>
          <w:p w14:paraId="5D8349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tc>
        <w:tc>
          <w:tcPr>
            <w:tcW w:w="1146" w:type="pct"/>
            <w:vAlign w:val="center"/>
          </w:tcPr>
          <w:p w14:paraId="095C3F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是否必填</w:t>
            </w:r>
          </w:p>
        </w:tc>
      </w:tr>
      <w:tr w14:paraId="01D65DF8">
        <w:trPr>
          <w:trHeight w:val="309" w:hRule="atLeast"/>
        </w:trPr>
        <w:tc>
          <w:tcPr>
            <w:tcW w:w="1555" w:type="pct"/>
            <w:vAlign w:val="center"/>
          </w:tcPr>
          <w:p w14:paraId="7641D5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来电时间</w:t>
            </w:r>
          </w:p>
        </w:tc>
        <w:tc>
          <w:tcPr>
            <w:tcW w:w="2298" w:type="pct"/>
            <w:vAlign w:val="center"/>
          </w:tcPr>
          <w:p w14:paraId="0C93C1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消费者拨打公司客服电话时间</w:t>
            </w:r>
          </w:p>
        </w:tc>
        <w:tc>
          <w:tcPr>
            <w:tcW w:w="1146" w:type="pct"/>
            <w:vMerge w:val="restart"/>
            <w:tcBorders>
              <w:bottom w:val="nil"/>
            </w:tcBorders>
            <w:vAlign w:val="center"/>
          </w:tcPr>
          <w:p w14:paraId="361EDD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参照《2018年保险公司服务评价系统数据报送规范》</w:t>
            </w:r>
          </w:p>
        </w:tc>
      </w:tr>
      <w:tr w14:paraId="2BC97126">
        <w:trPr>
          <w:trHeight w:val="619" w:hRule="atLeast"/>
        </w:trPr>
        <w:tc>
          <w:tcPr>
            <w:tcW w:w="1555" w:type="pct"/>
            <w:vAlign w:val="center"/>
          </w:tcPr>
          <w:p w14:paraId="2B0351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来电号码</w:t>
            </w:r>
          </w:p>
        </w:tc>
        <w:tc>
          <w:tcPr>
            <w:tcW w:w="2298" w:type="pct"/>
            <w:vAlign w:val="center"/>
          </w:tcPr>
          <w:p w14:paraId="257CA49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固定电话包括电话区号，除区号外任选3位数字脱敏，手机号码除长途冠码外，任选4位数字脱敏</w:t>
            </w:r>
          </w:p>
        </w:tc>
        <w:tc>
          <w:tcPr>
            <w:tcW w:w="1146" w:type="pct"/>
            <w:vMerge w:val="continue"/>
            <w:tcBorders>
              <w:top w:val="nil"/>
              <w:bottom w:val="nil"/>
            </w:tcBorders>
            <w:vAlign w:val="center"/>
          </w:tcPr>
          <w:p w14:paraId="4AABC8D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1890481">
        <w:trPr>
          <w:trHeight w:val="310" w:hRule="atLeast"/>
        </w:trPr>
        <w:tc>
          <w:tcPr>
            <w:tcW w:w="1555" w:type="pct"/>
            <w:vAlign w:val="center"/>
          </w:tcPr>
          <w:p w14:paraId="520E6FC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来电是否接通</w:t>
            </w:r>
          </w:p>
        </w:tc>
        <w:tc>
          <w:tcPr>
            <w:tcW w:w="2298" w:type="pct"/>
            <w:vAlign w:val="center"/>
          </w:tcPr>
          <w:p w14:paraId="0B8A493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1146" w:type="pct"/>
            <w:vMerge w:val="continue"/>
            <w:tcBorders>
              <w:top w:val="nil"/>
              <w:bottom w:val="nil"/>
            </w:tcBorders>
            <w:vAlign w:val="center"/>
          </w:tcPr>
          <w:p w14:paraId="3851B3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0D87D10">
        <w:trPr>
          <w:trHeight w:val="319" w:hRule="atLeast"/>
        </w:trPr>
        <w:tc>
          <w:tcPr>
            <w:tcW w:w="1555" w:type="pct"/>
            <w:vAlign w:val="center"/>
          </w:tcPr>
          <w:p w14:paraId="1CFA2C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人工接通时间</w:t>
            </w:r>
          </w:p>
        </w:tc>
        <w:tc>
          <w:tcPr>
            <w:tcW w:w="2298" w:type="pct"/>
            <w:vAlign w:val="center"/>
          </w:tcPr>
          <w:p w14:paraId="3AAB0A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人工坐席接通电话时间</w:t>
            </w:r>
          </w:p>
        </w:tc>
        <w:tc>
          <w:tcPr>
            <w:tcW w:w="1146" w:type="pct"/>
            <w:vMerge w:val="continue"/>
            <w:tcBorders>
              <w:top w:val="nil"/>
              <w:bottom w:val="nil"/>
            </w:tcBorders>
            <w:vAlign w:val="center"/>
          </w:tcPr>
          <w:p w14:paraId="0D29B4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98390F8">
        <w:trPr>
          <w:trHeight w:val="629" w:hRule="atLeast"/>
        </w:trPr>
        <w:tc>
          <w:tcPr>
            <w:tcW w:w="1555" w:type="pct"/>
            <w:vAlign w:val="center"/>
          </w:tcPr>
          <w:p w14:paraId="3D7B03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保险公司是否发起消费者满意度调查</w:t>
            </w:r>
          </w:p>
        </w:tc>
        <w:tc>
          <w:tcPr>
            <w:tcW w:w="2298" w:type="pct"/>
            <w:vAlign w:val="center"/>
          </w:tcPr>
          <w:p w14:paraId="0519204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1146" w:type="pct"/>
            <w:vMerge w:val="continue"/>
            <w:tcBorders>
              <w:top w:val="nil"/>
              <w:bottom w:val="nil"/>
            </w:tcBorders>
            <w:vAlign w:val="center"/>
          </w:tcPr>
          <w:p w14:paraId="13B2A64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2FD18D40">
        <w:trPr>
          <w:trHeight w:val="609" w:hRule="atLeast"/>
        </w:trPr>
        <w:tc>
          <w:tcPr>
            <w:tcW w:w="1555" w:type="pct"/>
            <w:vAlign w:val="center"/>
          </w:tcPr>
          <w:p w14:paraId="7405802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发起消费者满意度调查的渠道</w:t>
            </w:r>
          </w:p>
        </w:tc>
        <w:tc>
          <w:tcPr>
            <w:tcW w:w="2298" w:type="pct"/>
            <w:vAlign w:val="center"/>
          </w:tcPr>
          <w:p w14:paraId="3A9515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话后邀约/电话回访/短信/微信或其他app</w:t>
            </w:r>
          </w:p>
        </w:tc>
        <w:tc>
          <w:tcPr>
            <w:tcW w:w="1146" w:type="pct"/>
            <w:vMerge w:val="continue"/>
            <w:tcBorders>
              <w:top w:val="nil"/>
              <w:bottom w:val="nil"/>
            </w:tcBorders>
            <w:vAlign w:val="center"/>
          </w:tcPr>
          <w:p w14:paraId="5883F5B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C39B8AA">
        <w:trPr>
          <w:trHeight w:val="619" w:hRule="atLeast"/>
        </w:trPr>
        <w:tc>
          <w:tcPr>
            <w:tcW w:w="1555" w:type="pct"/>
            <w:vAlign w:val="center"/>
          </w:tcPr>
          <w:p w14:paraId="5CB0C8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消费者是否对满意度调查结果予以实际反馈</w:t>
            </w:r>
          </w:p>
        </w:tc>
        <w:tc>
          <w:tcPr>
            <w:tcW w:w="2298" w:type="pct"/>
            <w:vAlign w:val="center"/>
          </w:tcPr>
          <w:p w14:paraId="140A665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1146" w:type="pct"/>
            <w:vMerge w:val="continue"/>
            <w:tcBorders>
              <w:top w:val="nil"/>
              <w:bottom w:val="nil"/>
            </w:tcBorders>
            <w:vAlign w:val="center"/>
          </w:tcPr>
          <w:p w14:paraId="061A68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CC938EB">
        <w:trPr>
          <w:trHeight w:val="619" w:hRule="atLeast"/>
        </w:trPr>
        <w:tc>
          <w:tcPr>
            <w:tcW w:w="1555" w:type="pct"/>
            <w:vAlign w:val="center"/>
          </w:tcPr>
          <w:p w14:paraId="4D1429F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评价结果</w:t>
            </w:r>
          </w:p>
        </w:tc>
        <w:tc>
          <w:tcPr>
            <w:tcW w:w="2298" w:type="pct"/>
            <w:vAlign w:val="center"/>
          </w:tcPr>
          <w:p w14:paraId="65B563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评价选项统一设置为非常满意、满意、不满意、非常不满意4档</w:t>
            </w:r>
          </w:p>
        </w:tc>
        <w:tc>
          <w:tcPr>
            <w:tcW w:w="1146" w:type="pct"/>
            <w:vMerge w:val="continue"/>
            <w:tcBorders>
              <w:top w:val="nil"/>
              <w:bottom w:val="nil"/>
            </w:tcBorders>
            <w:vAlign w:val="center"/>
          </w:tcPr>
          <w:p w14:paraId="41BED80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0D7DB05">
        <w:trPr>
          <w:trHeight w:val="300" w:hRule="atLeast"/>
        </w:trPr>
        <w:tc>
          <w:tcPr>
            <w:tcW w:w="1555" w:type="pct"/>
            <w:vAlign w:val="center"/>
          </w:tcPr>
          <w:p w14:paraId="765F2F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评价结果反馈时间</w:t>
            </w:r>
          </w:p>
        </w:tc>
        <w:tc>
          <w:tcPr>
            <w:tcW w:w="2298" w:type="pct"/>
            <w:vAlign w:val="center"/>
          </w:tcPr>
          <w:p w14:paraId="254973B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消费者向保险公司反馈评价结果的时间</w:t>
            </w:r>
          </w:p>
        </w:tc>
        <w:tc>
          <w:tcPr>
            <w:tcW w:w="1146" w:type="pct"/>
            <w:vMerge w:val="continue"/>
            <w:tcBorders>
              <w:top w:val="nil"/>
              <w:bottom w:val="nil"/>
            </w:tcBorders>
            <w:vAlign w:val="center"/>
          </w:tcPr>
          <w:p w14:paraId="307A6C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37D967F">
        <w:trPr>
          <w:trHeight w:val="309" w:hRule="atLeast"/>
        </w:trPr>
        <w:tc>
          <w:tcPr>
            <w:tcW w:w="1555" w:type="pct"/>
            <w:vAlign w:val="center"/>
          </w:tcPr>
          <w:p w14:paraId="31108D5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挂机时间</w:t>
            </w:r>
          </w:p>
        </w:tc>
        <w:tc>
          <w:tcPr>
            <w:tcW w:w="2298" w:type="pct"/>
            <w:vAlign w:val="center"/>
          </w:tcPr>
          <w:p w14:paraId="4643A2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消费者挂机时间</w:t>
            </w:r>
          </w:p>
        </w:tc>
        <w:tc>
          <w:tcPr>
            <w:tcW w:w="1146" w:type="pct"/>
            <w:vMerge w:val="continue"/>
            <w:tcBorders>
              <w:top w:val="nil"/>
              <w:bottom w:val="nil"/>
            </w:tcBorders>
            <w:vAlign w:val="center"/>
          </w:tcPr>
          <w:p w14:paraId="093FC2E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1AA3E37">
        <w:trPr>
          <w:trHeight w:val="310" w:hRule="atLeast"/>
        </w:trPr>
        <w:tc>
          <w:tcPr>
            <w:tcW w:w="1555" w:type="pct"/>
            <w:vAlign w:val="center"/>
          </w:tcPr>
          <w:p w14:paraId="60C081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保险机构代码</w:t>
            </w:r>
          </w:p>
        </w:tc>
        <w:tc>
          <w:tcPr>
            <w:tcW w:w="2298" w:type="pct"/>
            <w:vAlign w:val="center"/>
          </w:tcPr>
          <w:p w14:paraId="4F3C9B2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根据共性代码对照表填写</w:t>
            </w:r>
          </w:p>
        </w:tc>
        <w:tc>
          <w:tcPr>
            <w:tcW w:w="1146" w:type="pct"/>
            <w:vMerge w:val="continue"/>
            <w:tcBorders>
              <w:top w:val="nil"/>
              <w:bottom w:val="nil"/>
            </w:tcBorders>
            <w:vAlign w:val="center"/>
          </w:tcPr>
          <w:p w14:paraId="458995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4AB4020">
        <w:trPr>
          <w:trHeight w:val="314" w:hRule="atLeast"/>
        </w:trPr>
        <w:tc>
          <w:tcPr>
            <w:tcW w:w="1555" w:type="pct"/>
            <w:vAlign w:val="center"/>
          </w:tcPr>
          <w:p w14:paraId="7E95D43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监管辖区代码</w:t>
            </w:r>
          </w:p>
        </w:tc>
        <w:tc>
          <w:tcPr>
            <w:tcW w:w="2298" w:type="pct"/>
            <w:vAlign w:val="center"/>
          </w:tcPr>
          <w:p w14:paraId="156B58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统一填写为000000</w:t>
            </w:r>
          </w:p>
        </w:tc>
        <w:tc>
          <w:tcPr>
            <w:tcW w:w="1146" w:type="pct"/>
            <w:vMerge w:val="continue"/>
            <w:tcBorders>
              <w:top w:val="nil"/>
            </w:tcBorders>
            <w:vAlign w:val="center"/>
          </w:tcPr>
          <w:p w14:paraId="2243C84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1D5F230E">
      <w:pPr>
        <w:rPr>
          <w:rFonts w:ascii="Arial"/>
          <w:sz w:val="21"/>
        </w:rPr>
      </w:pPr>
    </w:p>
    <w:p w14:paraId="201CA611">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表1</w:t>
      </w:r>
      <w:r>
        <w:rPr>
          <w:rFonts w:hint="eastAsia" w:ascii="黑体" w:hAnsi="黑体" w:eastAsia="黑体" w:cs="黑体"/>
          <w:sz w:val="32"/>
          <w:szCs w:val="32"/>
          <w:lang w:eastAsia="zh-CN"/>
        </w:rPr>
        <w:t>：</w:t>
      </w:r>
      <w:r>
        <w:rPr>
          <w:rFonts w:hint="eastAsia" w:ascii="黑体" w:hAnsi="黑体" w:eastAsia="黑体" w:cs="黑体"/>
          <w:sz w:val="32"/>
          <w:szCs w:val="32"/>
        </w:rPr>
        <w:t>电话呼入人工接通率统计汇总表</w:t>
      </w:r>
    </w:p>
    <w:p w14:paraId="550BE554">
      <w:pPr>
        <w:spacing w:line="20" w:lineRule="exact"/>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08"/>
        <w:gridCol w:w="2074"/>
        <w:gridCol w:w="2073"/>
        <w:gridCol w:w="2059"/>
      </w:tblGrid>
      <w:tr w14:paraId="38D08CD0">
        <w:trPr>
          <w:trHeight w:val="1237" w:hRule="atLeast"/>
        </w:trPr>
        <w:tc>
          <w:tcPr>
            <w:tcW w:w="1267" w:type="pct"/>
            <w:vAlign w:val="center"/>
          </w:tcPr>
          <w:p w14:paraId="75CAB92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p w14:paraId="5B5DE2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1247" w:type="pct"/>
            <w:vAlign w:val="center"/>
          </w:tcPr>
          <w:p w14:paraId="099432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消费者来电选择人</w:t>
            </w:r>
          </w:p>
          <w:p w14:paraId="6CBEA40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工服务键后专线人</w:t>
            </w:r>
          </w:p>
          <w:p w14:paraId="3BB0746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员接通的电话数</w:t>
            </w:r>
          </w:p>
          <w:p w14:paraId="33F69D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(笔)</w:t>
            </w:r>
          </w:p>
        </w:tc>
        <w:tc>
          <w:tcPr>
            <w:tcW w:w="1246" w:type="pct"/>
            <w:vAlign w:val="center"/>
          </w:tcPr>
          <w:p w14:paraId="50DA321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p w14:paraId="0E672E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消费者请求人工服务电话数(笔)</w:t>
            </w:r>
          </w:p>
        </w:tc>
        <w:tc>
          <w:tcPr>
            <w:tcW w:w="1238" w:type="pct"/>
            <w:vAlign w:val="center"/>
          </w:tcPr>
          <w:p w14:paraId="1FA34BE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p w14:paraId="17A8C2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电话呼入人工接通</w:t>
            </w:r>
          </w:p>
          <w:p w14:paraId="09A8FC7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率</w:t>
            </w:r>
          </w:p>
        </w:tc>
      </w:tr>
      <w:tr w14:paraId="3C9D1B2C">
        <w:trPr>
          <w:trHeight w:val="312" w:hRule="atLeast"/>
        </w:trPr>
        <w:tc>
          <w:tcPr>
            <w:tcW w:w="1267" w:type="pct"/>
            <w:vAlign w:val="center"/>
          </w:tcPr>
          <w:p w14:paraId="1E49092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1247" w:type="pct"/>
            <w:vAlign w:val="center"/>
          </w:tcPr>
          <w:p w14:paraId="486E89F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246" w:type="pct"/>
            <w:vAlign w:val="center"/>
          </w:tcPr>
          <w:p w14:paraId="49FD5F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238" w:type="pct"/>
            <w:vAlign w:val="center"/>
          </w:tcPr>
          <w:p w14:paraId="6F57B3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72AC8EF0">
      <w:pPr>
        <w:spacing w:line="315" w:lineRule="auto"/>
        <w:rPr>
          <w:rFonts w:ascii="Arial"/>
          <w:sz w:val="21"/>
        </w:rPr>
      </w:pPr>
    </w:p>
    <w:p w14:paraId="7CBA5627">
      <w:pPr>
        <w:spacing w:line="316" w:lineRule="auto"/>
        <w:rPr>
          <w:rFonts w:ascii="Arial"/>
          <w:sz w:val="21"/>
        </w:rPr>
      </w:pPr>
    </w:p>
    <w:p w14:paraId="618DD8A2">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表2</w:t>
      </w:r>
      <w:r>
        <w:rPr>
          <w:rFonts w:hint="eastAsia" w:ascii="黑体" w:hAnsi="黑体" w:eastAsia="黑体" w:cs="黑体"/>
          <w:sz w:val="32"/>
          <w:szCs w:val="32"/>
          <w:lang w:eastAsia="zh-CN"/>
        </w:rPr>
        <w:t>：</w:t>
      </w:r>
      <w:r>
        <w:rPr>
          <w:rFonts w:hint="eastAsia" w:ascii="黑体" w:hAnsi="黑体" w:eastAsia="黑体" w:cs="黑体"/>
          <w:sz w:val="32"/>
          <w:szCs w:val="32"/>
        </w:rPr>
        <w:t>客服代表服务满意率统计汇总表</w:t>
      </w:r>
    </w:p>
    <w:p w14:paraId="02B9CE14">
      <w:pPr>
        <w:spacing w:line="20" w:lineRule="exact"/>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113"/>
        <w:gridCol w:w="2069"/>
        <w:gridCol w:w="2078"/>
        <w:gridCol w:w="2054"/>
      </w:tblGrid>
      <w:tr w14:paraId="01FBE7DE">
        <w:trPr>
          <w:trHeight w:val="905" w:hRule="atLeast"/>
        </w:trPr>
        <w:tc>
          <w:tcPr>
            <w:tcW w:w="1270" w:type="pct"/>
            <w:vAlign w:val="center"/>
          </w:tcPr>
          <w:p w14:paraId="26630A4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1244" w:type="pct"/>
            <w:vAlign w:val="center"/>
          </w:tcPr>
          <w:p w14:paraId="4388F43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消费者评价满意笔</w:t>
            </w:r>
          </w:p>
          <w:p w14:paraId="5BFF9C9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数(笔)</w:t>
            </w:r>
          </w:p>
        </w:tc>
        <w:tc>
          <w:tcPr>
            <w:tcW w:w="1249" w:type="pct"/>
            <w:vAlign w:val="center"/>
          </w:tcPr>
          <w:p w14:paraId="327EA42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发起满意度调查后</w:t>
            </w:r>
          </w:p>
          <w:p w14:paraId="07A92B5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消费者有效评价笔</w:t>
            </w:r>
          </w:p>
          <w:p w14:paraId="5432CD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数(笔)</w:t>
            </w:r>
          </w:p>
        </w:tc>
        <w:tc>
          <w:tcPr>
            <w:tcW w:w="1235" w:type="pct"/>
            <w:vAlign w:val="center"/>
          </w:tcPr>
          <w:p w14:paraId="0376208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客服代表服务满意</w:t>
            </w:r>
          </w:p>
          <w:p w14:paraId="319C87F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率</w:t>
            </w:r>
          </w:p>
        </w:tc>
      </w:tr>
      <w:tr w14:paraId="7FBEF752">
        <w:trPr>
          <w:trHeight w:val="312" w:hRule="atLeast"/>
        </w:trPr>
        <w:tc>
          <w:tcPr>
            <w:tcW w:w="1270" w:type="pct"/>
            <w:vAlign w:val="center"/>
          </w:tcPr>
          <w:p w14:paraId="175B81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1244" w:type="pct"/>
            <w:vAlign w:val="center"/>
          </w:tcPr>
          <w:p w14:paraId="706C073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249" w:type="pct"/>
            <w:vAlign w:val="center"/>
          </w:tcPr>
          <w:p w14:paraId="077BD6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235" w:type="pct"/>
            <w:vAlign w:val="center"/>
          </w:tcPr>
          <w:p w14:paraId="361A74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56182A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31DD6A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5D08D8F1">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承保理赔查询异议类指标</w:t>
      </w:r>
    </w:p>
    <w:p w14:paraId="12188B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承保理赔查询异议信息处理时效</w:t>
      </w:r>
    </w:p>
    <w:p w14:paraId="0920E4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计算公式：承保理赔查询异议信息处理时效=∑统计期内承保理赔查询异议信息的[保险公司反馈最终处理结果的时间-消费者提出异议信息的时间]/统计期内收到的承保理赔查询异议信息数量</w:t>
      </w:r>
    </w:p>
    <w:p w14:paraId="4C668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填报说明：</w:t>
      </w:r>
    </w:p>
    <w:p w14:paraId="798FAE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1.报数口径：</w:t>
      </w:r>
    </w:p>
    <w:p w14:paraId="74BEE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(1)以消费者提出承保理赔异议信息的时间为准，提出时间在统计期内的均属于报送范围。</w:t>
      </w:r>
    </w:p>
    <w:p w14:paraId="78DBA3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(2)只报送保险公司网站收到的承保理赔查询异议信息，电话、柜面来访等其他渠道的承保理赔查询异议信息不列入报送范围。</w:t>
      </w:r>
    </w:p>
    <w:p w14:paraId="0ECD61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(3)已在各级人民法院、检察院和公安机关立案的异议信息不列入报送范围。</w:t>
      </w:r>
    </w:p>
    <w:p w14:paraId="37B5A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2.计算规则：统计期内保险公司收到承保理赔异议信息，并向消费者反馈最终处理结果的时效。</w:t>
      </w:r>
    </w:p>
    <w:p w14:paraId="0843E1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8CF7EAA">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承保理赔查询异议信息清单数据涉及的字段及说明</w:t>
      </w:r>
    </w:p>
    <w:p w14:paraId="11D37990">
      <w:pPr>
        <w:spacing w:line="32" w:lineRule="exact"/>
      </w:pPr>
    </w:p>
    <w:tbl>
      <w:tblPr>
        <w:tblStyle w:val="5"/>
        <w:tblW w:w="93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12"/>
        <w:gridCol w:w="4754"/>
        <w:gridCol w:w="1793"/>
      </w:tblGrid>
      <w:tr w14:paraId="32E746DD">
        <w:trPr>
          <w:trHeight w:val="313" w:hRule="atLeast"/>
        </w:trPr>
        <w:tc>
          <w:tcPr>
            <w:tcW w:w="2812" w:type="dxa"/>
            <w:vAlign w:val="center"/>
          </w:tcPr>
          <w:p w14:paraId="6E65A8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数据项</w:t>
            </w:r>
          </w:p>
        </w:tc>
        <w:tc>
          <w:tcPr>
            <w:tcW w:w="4754" w:type="dxa"/>
            <w:vAlign w:val="center"/>
          </w:tcPr>
          <w:p w14:paraId="5A799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tc>
        <w:tc>
          <w:tcPr>
            <w:tcW w:w="1793" w:type="dxa"/>
            <w:vAlign w:val="center"/>
          </w:tcPr>
          <w:p w14:paraId="6E261A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是否必填</w:t>
            </w:r>
          </w:p>
        </w:tc>
      </w:tr>
      <w:tr w14:paraId="63CD1422">
        <w:trPr>
          <w:trHeight w:val="318" w:hRule="atLeast"/>
        </w:trPr>
        <w:tc>
          <w:tcPr>
            <w:tcW w:w="2812" w:type="dxa"/>
            <w:vAlign w:val="center"/>
          </w:tcPr>
          <w:p w14:paraId="5DF6AF0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保单号</w:t>
            </w:r>
          </w:p>
        </w:tc>
        <w:tc>
          <w:tcPr>
            <w:tcW w:w="4754" w:type="dxa"/>
            <w:vAlign w:val="center"/>
          </w:tcPr>
          <w:p w14:paraId="4BFF55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保险公司出具的保险合同编号</w:t>
            </w:r>
          </w:p>
        </w:tc>
        <w:tc>
          <w:tcPr>
            <w:tcW w:w="1793" w:type="dxa"/>
            <w:vMerge w:val="restart"/>
            <w:tcBorders>
              <w:bottom w:val="nil"/>
            </w:tcBorders>
            <w:vAlign w:val="center"/>
          </w:tcPr>
          <w:p w14:paraId="15B60C3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参照《2018年保险公司服务评价系统数据报送规范》</w:t>
            </w:r>
          </w:p>
        </w:tc>
      </w:tr>
      <w:tr w14:paraId="5D5D949A">
        <w:trPr>
          <w:trHeight w:val="319" w:hRule="atLeast"/>
        </w:trPr>
        <w:tc>
          <w:tcPr>
            <w:tcW w:w="2812" w:type="dxa"/>
            <w:vAlign w:val="center"/>
          </w:tcPr>
          <w:p w14:paraId="063AEC2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承保理赔异议信息提出时间</w:t>
            </w:r>
          </w:p>
        </w:tc>
        <w:tc>
          <w:tcPr>
            <w:tcW w:w="4754" w:type="dxa"/>
            <w:vAlign w:val="center"/>
          </w:tcPr>
          <w:p w14:paraId="337794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保险公司收到异议信息的时间</w:t>
            </w:r>
          </w:p>
        </w:tc>
        <w:tc>
          <w:tcPr>
            <w:tcW w:w="1793" w:type="dxa"/>
            <w:vMerge w:val="continue"/>
            <w:tcBorders>
              <w:top w:val="nil"/>
              <w:bottom w:val="nil"/>
            </w:tcBorders>
            <w:vAlign w:val="center"/>
          </w:tcPr>
          <w:p w14:paraId="640827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0EE9DCE">
        <w:trPr>
          <w:trHeight w:val="707" w:hRule="atLeast"/>
        </w:trPr>
        <w:tc>
          <w:tcPr>
            <w:tcW w:w="2812" w:type="dxa"/>
            <w:vAlign w:val="center"/>
          </w:tcPr>
          <w:p w14:paraId="70F2237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保险公司反馈最终处理结果的时间</w:t>
            </w:r>
          </w:p>
        </w:tc>
        <w:tc>
          <w:tcPr>
            <w:tcW w:w="4754" w:type="dxa"/>
            <w:vAlign w:val="center"/>
          </w:tcPr>
          <w:p w14:paraId="083930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保险公司完成异议信息处理的最终反馈时间</w:t>
            </w:r>
          </w:p>
        </w:tc>
        <w:tc>
          <w:tcPr>
            <w:tcW w:w="1793" w:type="dxa"/>
            <w:vMerge w:val="continue"/>
            <w:tcBorders>
              <w:top w:val="nil"/>
              <w:bottom w:val="nil"/>
            </w:tcBorders>
            <w:vAlign w:val="center"/>
          </w:tcPr>
          <w:p w14:paraId="7400A63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2F459D5">
        <w:trPr>
          <w:trHeight w:val="319" w:hRule="atLeast"/>
        </w:trPr>
        <w:tc>
          <w:tcPr>
            <w:tcW w:w="2812" w:type="dxa"/>
            <w:vAlign w:val="center"/>
          </w:tcPr>
          <w:p w14:paraId="2D9B62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保险机构代码</w:t>
            </w:r>
          </w:p>
        </w:tc>
        <w:tc>
          <w:tcPr>
            <w:tcW w:w="4754" w:type="dxa"/>
            <w:vAlign w:val="center"/>
          </w:tcPr>
          <w:p w14:paraId="4FD28D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根据共性代码对照表填写</w:t>
            </w:r>
          </w:p>
        </w:tc>
        <w:tc>
          <w:tcPr>
            <w:tcW w:w="1793" w:type="dxa"/>
            <w:vMerge w:val="continue"/>
            <w:tcBorders>
              <w:top w:val="nil"/>
              <w:bottom w:val="nil"/>
            </w:tcBorders>
            <w:vAlign w:val="center"/>
          </w:tcPr>
          <w:p w14:paraId="0E6658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23FB0A26">
        <w:trPr>
          <w:trHeight w:val="313" w:hRule="atLeast"/>
        </w:trPr>
        <w:tc>
          <w:tcPr>
            <w:tcW w:w="2812" w:type="dxa"/>
            <w:vAlign w:val="center"/>
          </w:tcPr>
          <w:p w14:paraId="04C5CD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监管辖区代码</w:t>
            </w:r>
          </w:p>
        </w:tc>
        <w:tc>
          <w:tcPr>
            <w:tcW w:w="4754" w:type="dxa"/>
            <w:vAlign w:val="center"/>
          </w:tcPr>
          <w:p w14:paraId="678C173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码表校验，包括31个省和5个计划单列市</w:t>
            </w:r>
          </w:p>
        </w:tc>
        <w:tc>
          <w:tcPr>
            <w:tcW w:w="1793" w:type="dxa"/>
            <w:vMerge w:val="continue"/>
            <w:tcBorders>
              <w:top w:val="nil"/>
            </w:tcBorders>
            <w:vAlign w:val="center"/>
          </w:tcPr>
          <w:p w14:paraId="60C8F1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41F3DE66">
      <w:pPr>
        <w:spacing w:line="306" w:lineRule="auto"/>
        <w:rPr>
          <w:rFonts w:hint="eastAsia" w:ascii="Arial" w:eastAsiaTheme="minorEastAsia"/>
          <w:sz w:val="21"/>
          <w:lang w:eastAsia="zh-CN"/>
        </w:rPr>
      </w:pPr>
    </w:p>
    <w:p w14:paraId="02B5ACAE">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表3</w:t>
      </w:r>
      <w:r>
        <w:rPr>
          <w:rFonts w:hint="eastAsia" w:ascii="黑体" w:hAnsi="黑体" w:eastAsia="黑体" w:cs="黑体"/>
          <w:sz w:val="32"/>
          <w:szCs w:val="32"/>
          <w:lang w:eastAsia="zh-CN"/>
        </w:rPr>
        <w:t>：</w:t>
      </w:r>
      <w:r>
        <w:rPr>
          <w:rFonts w:hint="eastAsia" w:ascii="黑体" w:hAnsi="黑体" w:eastAsia="黑体" w:cs="黑体"/>
          <w:sz w:val="32"/>
          <w:szCs w:val="32"/>
        </w:rPr>
        <w:t>承保理赔查询异议信息处理时效统计汇总表</w:t>
      </w:r>
    </w:p>
    <w:p w14:paraId="3C4A68DE">
      <w:pPr>
        <w:spacing w:line="61" w:lineRule="exact"/>
      </w:pPr>
    </w:p>
    <w:tbl>
      <w:tblPr>
        <w:tblStyle w:val="5"/>
        <w:tblW w:w="94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2"/>
        <w:gridCol w:w="2367"/>
        <w:gridCol w:w="2348"/>
        <w:gridCol w:w="2343"/>
      </w:tblGrid>
      <w:tr w14:paraId="40EF9ADC">
        <w:trPr>
          <w:trHeight w:val="1563" w:hRule="atLeast"/>
        </w:trPr>
        <w:tc>
          <w:tcPr>
            <w:tcW w:w="2362" w:type="dxa"/>
            <w:vAlign w:val="center"/>
          </w:tcPr>
          <w:p w14:paraId="2CF28FC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2367" w:type="dxa"/>
            <w:vAlign w:val="center"/>
          </w:tcPr>
          <w:p w14:paraId="25ED5F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∑统计期内承保理赔查询异议信息的[保险公司反馈最终处理结果的时间一消费者提出异议信息的时间]</w:t>
            </w:r>
          </w:p>
        </w:tc>
        <w:tc>
          <w:tcPr>
            <w:tcW w:w="2348" w:type="dxa"/>
            <w:vAlign w:val="center"/>
          </w:tcPr>
          <w:p w14:paraId="5B6E33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统计期内收到的承保理赔查询异议信息数量</w:t>
            </w:r>
          </w:p>
        </w:tc>
        <w:tc>
          <w:tcPr>
            <w:tcW w:w="2343" w:type="dxa"/>
            <w:vAlign w:val="center"/>
          </w:tcPr>
          <w:p w14:paraId="3A22AF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承保理赔查询异议信息处理时效</w:t>
            </w:r>
          </w:p>
        </w:tc>
      </w:tr>
      <w:tr w14:paraId="2F8767D8">
        <w:trPr>
          <w:trHeight w:val="320" w:hRule="atLeast"/>
        </w:trPr>
        <w:tc>
          <w:tcPr>
            <w:tcW w:w="2362" w:type="dxa"/>
            <w:vAlign w:val="center"/>
          </w:tcPr>
          <w:p w14:paraId="1A0442B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2367" w:type="dxa"/>
            <w:vAlign w:val="center"/>
          </w:tcPr>
          <w:p w14:paraId="13A7E3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743F9C4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4283EF6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E0E1FE2">
        <w:trPr>
          <w:trHeight w:val="309" w:hRule="atLeast"/>
        </w:trPr>
        <w:tc>
          <w:tcPr>
            <w:tcW w:w="2362" w:type="dxa"/>
            <w:vAlign w:val="center"/>
          </w:tcPr>
          <w:p w14:paraId="6D426B0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总公司直属(含虚拟)</w:t>
            </w:r>
          </w:p>
        </w:tc>
        <w:tc>
          <w:tcPr>
            <w:tcW w:w="2367" w:type="dxa"/>
            <w:vAlign w:val="center"/>
          </w:tcPr>
          <w:p w14:paraId="7875F8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57E7FF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6188CA2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C84CFE9">
        <w:trPr>
          <w:trHeight w:val="320" w:hRule="atLeast"/>
        </w:trPr>
        <w:tc>
          <w:tcPr>
            <w:tcW w:w="2362" w:type="dxa"/>
            <w:vAlign w:val="center"/>
          </w:tcPr>
          <w:p w14:paraId="452E3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北京</w:t>
            </w:r>
          </w:p>
        </w:tc>
        <w:tc>
          <w:tcPr>
            <w:tcW w:w="2367" w:type="dxa"/>
            <w:vAlign w:val="center"/>
          </w:tcPr>
          <w:p w14:paraId="72C29C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1D4207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7ABD3B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6EBC84C">
        <w:trPr>
          <w:trHeight w:val="309" w:hRule="atLeast"/>
        </w:trPr>
        <w:tc>
          <w:tcPr>
            <w:tcW w:w="2362" w:type="dxa"/>
            <w:vAlign w:val="center"/>
          </w:tcPr>
          <w:p w14:paraId="20A642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天津</w:t>
            </w:r>
          </w:p>
        </w:tc>
        <w:tc>
          <w:tcPr>
            <w:tcW w:w="2367" w:type="dxa"/>
            <w:vAlign w:val="center"/>
          </w:tcPr>
          <w:p w14:paraId="49D379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31430EF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15EA07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3E3935F">
        <w:trPr>
          <w:trHeight w:val="310" w:hRule="atLeast"/>
        </w:trPr>
        <w:tc>
          <w:tcPr>
            <w:tcW w:w="2362" w:type="dxa"/>
            <w:vAlign w:val="center"/>
          </w:tcPr>
          <w:p w14:paraId="7E89BD6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河北</w:t>
            </w:r>
          </w:p>
        </w:tc>
        <w:tc>
          <w:tcPr>
            <w:tcW w:w="2367" w:type="dxa"/>
            <w:vAlign w:val="center"/>
          </w:tcPr>
          <w:p w14:paraId="418DCEF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1061C8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7FBA44E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5A1D1CF">
        <w:trPr>
          <w:trHeight w:val="310" w:hRule="atLeast"/>
        </w:trPr>
        <w:tc>
          <w:tcPr>
            <w:tcW w:w="2362" w:type="dxa"/>
            <w:vAlign w:val="center"/>
          </w:tcPr>
          <w:p w14:paraId="4DDACBD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山西</w:t>
            </w:r>
          </w:p>
        </w:tc>
        <w:tc>
          <w:tcPr>
            <w:tcW w:w="2367" w:type="dxa"/>
            <w:vAlign w:val="center"/>
          </w:tcPr>
          <w:p w14:paraId="6AC8A63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01CC12C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C5805F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2EB7063">
        <w:trPr>
          <w:trHeight w:val="319" w:hRule="atLeast"/>
        </w:trPr>
        <w:tc>
          <w:tcPr>
            <w:tcW w:w="2362" w:type="dxa"/>
            <w:vAlign w:val="center"/>
          </w:tcPr>
          <w:p w14:paraId="127012E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内蒙古</w:t>
            </w:r>
          </w:p>
        </w:tc>
        <w:tc>
          <w:tcPr>
            <w:tcW w:w="2367" w:type="dxa"/>
            <w:vAlign w:val="center"/>
          </w:tcPr>
          <w:p w14:paraId="555E1B8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55D4C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1F8240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8058230">
        <w:trPr>
          <w:trHeight w:val="310" w:hRule="atLeast"/>
        </w:trPr>
        <w:tc>
          <w:tcPr>
            <w:tcW w:w="2362" w:type="dxa"/>
            <w:vAlign w:val="center"/>
          </w:tcPr>
          <w:p w14:paraId="2FA178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辽宁(不含大连)</w:t>
            </w:r>
          </w:p>
        </w:tc>
        <w:tc>
          <w:tcPr>
            <w:tcW w:w="2367" w:type="dxa"/>
            <w:vAlign w:val="center"/>
          </w:tcPr>
          <w:p w14:paraId="047085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7A01BD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487B54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66ECE64">
        <w:trPr>
          <w:trHeight w:val="310" w:hRule="atLeast"/>
        </w:trPr>
        <w:tc>
          <w:tcPr>
            <w:tcW w:w="2362" w:type="dxa"/>
            <w:vAlign w:val="center"/>
          </w:tcPr>
          <w:p w14:paraId="74AFCA3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大连</w:t>
            </w:r>
          </w:p>
        </w:tc>
        <w:tc>
          <w:tcPr>
            <w:tcW w:w="2367" w:type="dxa"/>
            <w:vAlign w:val="center"/>
          </w:tcPr>
          <w:p w14:paraId="1A300B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71471D4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570D6A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7DDE9B6">
        <w:trPr>
          <w:trHeight w:val="310" w:hRule="atLeast"/>
        </w:trPr>
        <w:tc>
          <w:tcPr>
            <w:tcW w:w="2362" w:type="dxa"/>
            <w:vAlign w:val="center"/>
          </w:tcPr>
          <w:p w14:paraId="23AA28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吉林</w:t>
            </w:r>
          </w:p>
        </w:tc>
        <w:tc>
          <w:tcPr>
            <w:tcW w:w="2367" w:type="dxa"/>
            <w:vAlign w:val="center"/>
          </w:tcPr>
          <w:p w14:paraId="77C26D0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2A949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11DA38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B52B865">
        <w:trPr>
          <w:trHeight w:val="309" w:hRule="atLeast"/>
        </w:trPr>
        <w:tc>
          <w:tcPr>
            <w:tcW w:w="2362" w:type="dxa"/>
            <w:vAlign w:val="center"/>
          </w:tcPr>
          <w:p w14:paraId="32A6EE6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黑龙江</w:t>
            </w:r>
          </w:p>
        </w:tc>
        <w:tc>
          <w:tcPr>
            <w:tcW w:w="2367" w:type="dxa"/>
            <w:vAlign w:val="center"/>
          </w:tcPr>
          <w:p w14:paraId="1005AFB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62FFE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695C70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5059823">
        <w:trPr>
          <w:trHeight w:val="310" w:hRule="atLeast"/>
        </w:trPr>
        <w:tc>
          <w:tcPr>
            <w:tcW w:w="2362" w:type="dxa"/>
            <w:vAlign w:val="center"/>
          </w:tcPr>
          <w:p w14:paraId="46FF91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上海</w:t>
            </w:r>
          </w:p>
        </w:tc>
        <w:tc>
          <w:tcPr>
            <w:tcW w:w="2367" w:type="dxa"/>
            <w:vAlign w:val="center"/>
          </w:tcPr>
          <w:p w14:paraId="58D4439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19B5F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87EEC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C4E62A8">
        <w:trPr>
          <w:trHeight w:val="310" w:hRule="atLeast"/>
        </w:trPr>
        <w:tc>
          <w:tcPr>
            <w:tcW w:w="2362" w:type="dxa"/>
            <w:vAlign w:val="center"/>
          </w:tcPr>
          <w:p w14:paraId="6C8EF3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江苏</w:t>
            </w:r>
          </w:p>
        </w:tc>
        <w:tc>
          <w:tcPr>
            <w:tcW w:w="2367" w:type="dxa"/>
            <w:vAlign w:val="center"/>
          </w:tcPr>
          <w:p w14:paraId="2266AA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509F8D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521F60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EC3E7EC">
        <w:trPr>
          <w:trHeight w:val="299" w:hRule="atLeast"/>
        </w:trPr>
        <w:tc>
          <w:tcPr>
            <w:tcW w:w="2362" w:type="dxa"/>
            <w:vAlign w:val="center"/>
          </w:tcPr>
          <w:p w14:paraId="436F7CD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浙江(不含宁波)</w:t>
            </w:r>
          </w:p>
        </w:tc>
        <w:tc>
          <w:tcPr>
            <w:tcW w:w="2367" w:type="dxa"/>
            <w:vAlign w:val="center"/>
          </w:tcPr>
          <w:p w14:paraId="3818402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B6F444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4E012B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ECB3C85">
        <w:trPr>
          <w:trHeight w:val="310" w:hRule="atLeast"/>
        </w:trPr>
        <w:tc>
          <w:tcPr>
            <w:tcW w:w="2362" w:type="dxa"/>
            <w:vAlign w:val="center"/>
          </w:tcPr>
          <w:p w14:paraId="2AC8A8F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宁波</w:t>
            </w:r>
          </w:p>
        </w:tc>
        <w:tc>
          <w:tcPr>
            <w:tcW w:w="2367" w:type="dxa"/>
            <w:vAlign w:val="center"/>
          </w:tcPr>
          <w:p w14:paraId="52310B3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182FF92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72AB16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5368C01">
        <w:trPr>
          <w:trHeight w:val="300" w:hRule="atLeast"/>
        </w:trPr>
        <w:tc>
          <w:tcPr>
            <w:tcW w:w="2362" w:type="dxa"/>
            <w:vAlign w:val="center"/>
          </w:tcPr>
          <w:p w14:paraId="379FC93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安徽</w:t>
            </w:r>
          </w:p>
        </w:tc>
        <w:tc>
          <w:tcPr>
            <w:tcW w:w="2367" w:type="dxa"/>
            <w:vAlign w:val="center"/>
          </w:tcPr>
          <w:p w14:paraId="6D2B29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57C12F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11A83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303D9BB">
        <w:trPr>
          <w:trHeight w:val="310" w:hRule="atLeast"/>
        </w:trPr>
        <w:tc>
          <w:tcPr>
            <w:tcW w:w="2362" w:type="dxa"/>
            <w:vAlign w:val="center"/>
          </w:tcPr>
          <w:p w14:paraId="560089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福建(不含厦门)</w:t>
            </w:r>
          </w:p>
        </w:tc>
        <w:tc>
          <w:tcPr>
            <w:tcW w:w="2367" w:type="dxa"/>
            <w:vAlign w:val="center"/>
          </w:tcPr>
          <w:p w14:paraId="06CB8A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3E6A26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61CBE5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37578D5">
        <w:trPr>
          <w:trHeight w:val="310" w:hRule="atLeast"/>
        </w:trPr>
        <w:tc>
          <w:tcPr>
            <w:tcW w:w="2362" w:type="dxa"/>
            <w:vAlign w:val="center"/>
          </w:tcPr>
          <w:p w14:paraId="63D2192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厦门</w:t>
            </w:r>
          </w:p>
        </w:tc>
        <w:tc>
          <w:tcPr>
            <w:tcW w:w="2367" w:type="dxa"/>
            <w:vAlign w:val="center"/>
          </w:tcPr>
          <w:p w14:paraId="017E92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103DBE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9568F8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95F4660">
        <w:trPr>
          <w:trHeight w:val="309" w:hRule="atLeast"/>
        </w:trPr>
        <w:tc>
          <w:tcPr>
            <w:tcW w:w="2362" w:type="dxa"/>
            <w:vAlign w:val="center"/>
          </w:tcPr>
          <w:p w14:paraId="24244D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江西</w:t>
            </w:r>
          </w:p>
        </w:tc>
        <w:tc>
          <w:tcPr>
            <w:tcW w:w="2367" w:type="dxa"/>
            <w:vAlign w:val="center"/>
          </w:tcPr>
          <w:p w14:paraId="0B16D1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542754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22A7EA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E66EECB">
        <w:trPr>
          <w:trHeight w:val="300" w:hRule="atLeast"/>
        </w:trPr>
        <w:tc>
          <w:tcPr>
            <w:tcW w:w="2362" w:type="dxa"/>
            <w:vAlign w:val="center"/>
          </w:tcPr>
          <w:p w14:paraId="5415BEB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山东(不含青岛)</w:t>
            </w:r>
          </w:p>
        </w:tc>
        <w:tc>
          <w:tcPr>
            <w:tcW w:w="2367" w:type="dxa"/>
            <w:vAlign w:val="center"/>
          </w:tcPr>
          <w:p w14:paraId="3F7883F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77D0602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9297C8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A4C33FB">
        <w:trPr>
          <w:trHeight w:val="309" w:hRule="atLeast"/>
        </w:trPr>
        <w:tc>
          <w:tcPr>
            <w:tcW w:w="2362" w:type="dxa"/>
            <w:vAlign w:val="center"/>
          </w:tcPr>
          <w:p w14:paraId="20F139F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青岛</w:t>
            </w:r>
          </w:p>
        </w:tc>
        <w:tc>
          <w:tcPr>
            <w:tcW w:w="2367" w:type="dxa"/>
            <w:vAlign w:val="center"/>
          </w:tcPr>
          <w:p w14:paraId="659E508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4D8C0E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2D3C1B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63EA1C3">
        <w:trPr>
          <w:trHeight w:val="310" w:hRule="atLeast"/>
        </w:trPr>
        <w:tc>
          <w:tcPr>
            <w:tcW w:w="2362" w:type="dxa"/>
            <w:vAlign w:val="center"/>
          </w:tcPr>
          <w:p w14:paraId="634E0C6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河南</w:t>
            </w:r>
          </w:p>
        </w:tc>
        <w:tc>
          <w:tcPr>
            <w:tcW w:w="2367" w:type="dxa"/>
            <w:vAlign w:val="center"/>
          </w:tcPr>
          <w:p w14:paraId="7EC6A7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293463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4429AB4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D5F057A">
        <w:trPr>
          <w:trHeight w:val="319" w:hRule="atLeast"/>
        </w:trPr>
        <w:tc>
          <w:tcPr>
            <w:tcW w:w="2362" w:type="dxa"/>
            <w:vAlign w:val="center"/>
          </w:tcPr>
          <w:p w14:paraId="7C131A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湖北</w:t>
            </w:r>
          </w:p>
        </w:tc>
        <w:tc>
          <w:tcPr>
            <w:tcW w:w="2367" w:type="dxa"/>
            <w:vAlign w:val="center"/>
          </w:tcPr>
          <w:p w14:paraId="51EF26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16443AA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0840653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63A5722">
        <w:trPr>
          <w:trHeight w:val="310" w:hRule="atLeast"/>
        </w:trPr>
        <w:tc>
          <w:tcPr>
            <w:tcW w:w="2362" w:type="dxa"/>
            <w:vAlign w:val="center"/>
          </w:tcPr>
          <w:p w14:paraId="58A424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湖南</w:t>
            </w:r>
          </w:p>
        </w:tc>
        <w:tc>
          <w:tcPr>
            <w:tcW w:w="2367" w:type="dxa"/>
            <w:vAlign w:val="center"/>
          </w:tcPr>
          <w:p w14:paraId="5F1B0BD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7EA137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3C0317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203086E">
        <w:trPr>
          <w:trHeight w:val="315" w:hRule="atLeast"/>
        </w:trPr>
        <w:tc>
          <w:tcPr>
            <w:tcW w:w="2362" w:type="dxa"/>
            <w:vAlign w:val="center"/>
          </w:tcPr>
          <w:p w14:paraId="39DAAB5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广东(不含深圳)</w:t>
            </w:r>
          </w:p>
        </w:tc>
        <w:tc>
          <w:tcPr>
            <w:tcW w:w="2367" w:type="dxa"/>
            <w:vAlign w:val="center"/>
          </w:tcPr>
          <w:p w14:paraId="5B7A77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8" w:type="dxa"/>
            <w:vAlign w:val="center"/>
          </w:tcPr>
          <w:p w14:paraId="0ABFEA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2343" w:type="dxa"/>
            <w:vAlign w:val="center"/>
          </w:tcPr>
          <w:p w14:paraId="34C72B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C90256F">
        <w:trPr>
          <w:trHeight w:val="315" w:hRule="atLeast"/>
        </w:trPr>
        <w:tc>
          <w:tcPr>
            <w:tcW w:w="2362" w:type="dxa"/>
            <w:shd w:val="clear" w:color="auto" w:fill="auto"/>
            <w:vAlign w:val="center"/>
          </w:tcPr>
          <w:p w14:paraId="06A802E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深圳</w:t>
            </w:r>
          </w:p>
        </w:tc>
        <w:tc>
          <w:tcPr>
            <w:tcW w:w="2367" w:type="dxa"/>
            <w:shd w:val="clear" w:color="auto" w:fill="auto"/>
            <w:vAlign w:val="center"/>
          </w:tcPr>
          <w:p w14:paraId="400D08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2348" w:type="dxa"/>
            <w:shd w:val="clear" w:color="auto" w:fill="auto"/>
            <w:vAlign w:val="center"/>
          </w:tcPr>
          <w:p w14:paraId="77920B3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2343" w:type="dxa"/>
            <w:shd w:val="clear" w:color="auto" w:fill="auto"/>
            <w:vAlign w:val="center"/>
          </w:tcPr>
          <w:p w14:paraId="0C488B5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3226FFF7">
        <w:trPr>
          <w:trHeight w:val="315" w:hRule="atLeast"/>
        </w:trPr>
        <w:tc>
          <w:tcPr>
            <w:tcW w:w="0" w:type="auto"/>
            <w:shd w:val="clear" w:color="auto" w:fill="auto"/>
            <w:vAlign w:val="center"/>
          </w:tcPr>
          <w:p w14:paraId="5F5DA3B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广西</w:t>
            </w:r>
          </w:p>
        </w:tc>
        <w:tc>
          <w:tcPr>
            <w:tcW w:w="0" w:type="auto"/>
            <w:shd w:val="clear" w:color="auto" w:fill="auto"/>
            <w:vAlign w:val="center"/>
          </w:tcPr>
          <w:p w14:paraId="5E8F582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5ED35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56E37C8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4257D5B5">
        <w:trPr>
          <w:trHeight w:val="315" w:hRule="atLeast"/>
        </w:trPr>
        <w:tc>
          <w:tcPr>
            <w:tcW w:w="0" w:type="auto"/>
            <w:shd w:val="clear" w:color="auto" w:fill="auto"/>
            <w:vAlign w:val="center"/>
          </w:tcPr>
          <w:p w14:paraId="1539AE6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海南</w:t>
            </w:r>
          </w:p>
        </w:tc>
        <w:tc>
          <w:tcPr>
            <w:tcW w:w="0" w:type="auto"/>
            <w:shd w:val="clear" w:color="auto" w:fill="auto"/>
            <w:vAlign w:val="center"/>
          </w:tcPr>
          <w:p w14:paraId="0DDD23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A31CB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28225F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6541E365">
        <w:trPr>
          <w:trHeight w:val="315" w:hRule="atLeast"/>
        </w:trPr>
        <w:tc>
          <w:tcPr>
            <w:tcW w:w="0" w:type="auto"/>
            <w:shd w:val="clear" w:color="auto" w:fill="auto"/>
            <w:vAlign w:val="center"/>
          </w:tcPr>
          <w:p w14:paraId="225133B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重庆</w:t>
            </w:r>
          </w:p>
        </w:tc>
        <w:tc>
          <w:tcPr>
            <w:tcW w:w="0" w:type="auto"/>
            <w:shd w:val="clear" w:color="auto" w:fill="auto"/>
            <w:vAlign w:val="center"/>
          </w:tcPr>
          <w:p w14:paraId="51F97BA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3FCEC3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6C7947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4AF9886A">
        <w:trPr>
          <w:trHeight w:val="315" w:hRule="atLeast"/>
        </w:trPr>
        <w:tc>
          <w:tcPr>
            <w:tcW w:w="0" w:type="auto"/>
            <w:shd w:val="clear" w:color="auto" w:fill="auto"/>
            <w:vAlign w:val="center"/>
          </w:tcPr>
          <w:p w14:paraId="56ADBB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四川</w:t>
            </w:r>
          </w:p>
        </w:tc>
        <w:tc>
          <w:tcPr>
            <w:tcW w:w="0" w:type="auto"/>
            <w:shd w:val="clear" w:color="auto" w:fill="auto"/>
            <w:vAlign w:val="center"/>
          </w:tcPr>
          <w:p w14:paraId="336FF6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498EA4B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41FB33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481E4077">
        <w:trPr>
          <w:trHeight w:val="315" w:hRule="atLeast"/>
        </w:trPr>
        <w:tc>
          <w:tcPr>
            <w:tcW w:w="0" w:type="auto"/>
            <w:shd w:val="clear" w:color="auto" w:fill="auto"/>
            <w:vAlign w:val="center"/>
          </w:tcPr>
          <w:p w14:paraId="5E8C05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贵州</w:t>
            </w:r>
          </w:p>
        </w:tc>
        <w:tc>
          <w:tcPr>
            <w:tcW w:w="0" w:type="auto"/>
            <w:shd w:val="clear" w:color="auto" w:fill="auto"/>
            <w:vAlign w:val="center"/>
          </w:tcPr>
          <w:p w14:paraId="58CCD42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06D9F1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58DE5E2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39C18E41">
        <w:trPr>
          <w:trHeight w:val="315" w:hRule="atLeast"/>
        </w:trPr>
        <w:tc>
          <w:tcPr>
            <w:tcW w:w="0" w:type="auto"/>
            <w:shd w:val="clear" w:color="auto" w:fill="auto"/>
            <w:vAlign w:val="center"/>
          </w:tcPr>
          <w:p w14:paraId="0050410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云南</w:t>
            </w:r>
          </w:p>
        </w:tc>
        <w:tc>
          <w:tcPr>
            <w:tcW w:w="0" w:type="auto"/>
            <w:shd w:val="clear" w:color="auto" w:fill="auto"/>
            <w:vAlign w:val="center"/>
          </w:tcPr>
          <w:p w14:paraId="5CFC948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4D3879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3E7D87A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1302A8C0">
        <w:trPr>
          <w:trHeight w:val="315" w:hRule="atLeast"/>
        </w:trPr>
        <w:tc>
          <w:tcPr>
            <w:tcW w:w="0" w:type="auto"/>
            <w:shd w:val="clear" w:color="auto" w:fill="auto"/>
            <w:vAlign w:val="center"/>
          </w:tcPr>
          <w:p w14:paraId="49C09A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西藏</w:t>
            </w:r>
          </w:p>
        </w:tc>
        <w:tc>
          <w:tcPr>
            <w:tcW w:w="0" w:type="auto"/>
            <w:shd w:val="clear" w:color="auto" w:fill="auto"/>
            <w:vAlign w:val="center"/>
          </w:tcPr>
          <w:p w14:paraId="002BF28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55FD0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280E66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0F5B8231">
        <w:trPr>
          <w:trHeight w:val="315" w:hRule="atLeast"/>
        </w:trPr>
        <w:tc>
          <w:tcPr>
            <w:tcW w:w="0" w:type="auto"/>
            <w:shd w:val="clear" w:color="auto" w:fill="auto"/>
            <w:vAlign w:val="center"/>
          </w:tcPr>
          <w:p w14:paraId="447BF0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陕西</w:t>
            </w:r>
          </w:p>
        </w:tc>
        <w:tc>
          <w:tcPr>
            <w:tcW w:w="0" w:type="auto"/>
            <w:shd w:val="clear" w:color="auto" w:fill="auto"/>
            <w:vAlign w:val="center"/>
          </w:tcPr>
          <w:p w14:paraId="773C8A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5978FF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0F6066D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41277ECF">
        <w:trPr>
          <w:trHeight w:val="315" w:hRule="atLeast"/>
        </w:trPr>
        <w:tc>
          <w:tcPr>
            <w:tcW w:w="0" w:type="auto"/>
            <w:shd w:val="clear" w:color="auto" w:fill="auto"/>
            <w:vAlign w:val="center"/>
          </w:tcPr>
          <w:p w14:paraId="71B1067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甘肃</w:t>
            </w:r>
          </w:p>
        </w:tc>
        <w:tc>
          <w:tcPr>
            <w:tcW w:w="0" w:type="auto"/>
            <w:shd w:val="clear" w:color="auto" w:fill="auto"/>
            <w:vAlign w:val="center"/>
          </w:tcPr>
          <w:p w14:paraId="516649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A875A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0C62B9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2994BB1D">
        <w:trPr>
          <w:trHeight w:val="315" w:hRule="atLeast"/>
        </w:trPr>
        <w:tc>
          <w:tcPr>
            <w:tcW w:w="0" w:type="auto"/>
            <w:shd w:val="clear" w:color="auto" w:fill="auto"/>
            <w:vAlign w:val="center"/>
          </w:tcPr>
          <w:p w14:paraId="500B388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青海</w:t>
            </w:r>
          </w:p>
        </w:tc>
        <w:tc>
          <w:tcPr>
            <w:tcW w:w="0" w:type="auto"/>
            <w:shd w:val="clear" w:color="auto" w:fill="auto"/>
            <w:vAlign w:val="center"/>
          </w:tcPr>
          <w:p w14:paraId="461553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73121D9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76CAF5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36CDEE22">
        <w:trPr>
          <w:trHeight w:val="315" w:hRule="atLeast"/>
        </w:trPr>
        <w:tc>
          <w:tcPr>
            <w:tcW w:w="0" w:type="auto"/>
            <w:shd w:val="clear" w:color="auto" w:fill="auto"/>
            <w:vAlign w:val="center"/>
          </w:tcPr>
          <w:p w14:paraId="725C9B7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宁夏</w:t>
            </w:r>
          </w:p>
        </w:tc>
        <w:tc>
          <w:tcPr>
            <w:tcW w:w="0" w:type="auto"/>
            <w:shd w:val="clear" w:color="auto" w:fill="auto"/>
            <w:vAlign w:val="center"/>
          </w:tcPr>
          <w:p w14:paraId="328B8C6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7C7639A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4138CE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r w14:paraId="2D2882BB">
        <w:trPr>
          <w:trHeight w:val="315" w:hRule="atLeast"/>
        </w:trPr>
        <w:tc>
          <w:tcPr>
            <w:tcW w:w="0" w:type="auto"/>
            <w:shd w:val="clear" w:color="auto" w:fill="auto"/>
            <w:vAlign w:val="center"/>
          </w:tcPr>
          <w:p w14:paraId="559930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新疆</w:t>
            </w:r>
          </w:p>
        </w:tc>
        <w:tc>
          <w:tcPr>
            <w:tcW w:w="0" w:type="auto"/>
            <w:shd w:val="clear" w:color="auto" w:fill="auto"/>
            <w:vAlign w:val="center"/>
          </w:tcPr>
          <w:p w14:paraId="6B1DE4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197835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c>
          <w:tcPr>
            <w:tcW w:w="0" w:type="auto"/>
            <w:shd w:val="clear" w:color="auto" w:fill="auto"/>
            <w:vAlign w:val="center"/>
          </w:tcPr>
          <w:p w14:paraId="206891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zh-CN"/>
              </w:rPr>
            </w:pPr>
          </w:p>
        </w:tc>
      </w:tr>
    </w:tbl>
    <w:p w14:paraId="6D4F75CA">
      <w:pPr>
        <w:rPr>
          <w:rFonts w:ascii="Arial"/>
          <w:sz w:val="21"/>
        </w:rPr>
      </w:pPr>
    </w:p>
    <w:p w14:paraId="42CE7B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393FB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10757859">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第三部</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分理赔类指标</w:t>
      </w:r>
    </w:p>
    <w:p w14:paraId="565DDE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理赔案件结案率</w:t>
      </w:r>
    </w:p>
    <w:p w14:paraId="2A0398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计算公式：理赔案件结案率=统计期内已决赔案数量/(统计期初未决赔案案件数量+统计期内立案案件数量)×100%</w:t>
      </w:r>
    </w:p>
    <w:p w14:paraId="73BECE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理赔获赔率</w:t>
      </w:r>
    </w:p>
    <w:p w14:paraId="3CFF16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计算公式：理赔获赔率=统计期内正常结案案件数量/(统计期内正常结案案件数量+统计期内拒赔结案案件数量)×100%</w:t>
      </w:r>
    </w:p>
    <w:p w14:paraId="33A0446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万元以下赔案案均报案支付周期</w:t>
      </w:r>
    </w:p>
    <w:p w14:paraId="55A790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计算公式：万元以下赔案案均报案支付周期=∑统计期内万元以下正常结案案件的[支付时间-报案时间]/统计期内万元以下正常结案案件数量</w:t>
      </w:r>
    </w:p>
    <w:p w14:paraId="034548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填报说明：</w:t>
      </w:r>
    </w:p>
    <w:p w14:paraId="3D1FA9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1.报数口径：</w:t>
      </w:r>
    </w:p>
    <w:p w14:paraId="251D7D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(1)以立案时间为准，立案时间落在统计期开始时间追溯两年至统计期结束时间(即2015年1月1日00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00至2017年12月31日23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59)的所有案件(包括已决赔案和未决赔案)均列入报送范围。</w:t>
      </w:r>
    </w:p>
    <w:p w14:paraId="32A9A7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交强险、商业车险、企业财产险、家庭财产险、工程保险、责任保险、船舶保险、货物运输保险、健康保险、意外伤害保险等十个险种列入报送范围。除上述险种以外的农业保险、大病保险等政策性保险，以及保证保险、信用保险、特殊风险保险及其他类保险等险种覆盖范围较小的险种均不列入报送范围。</w:t>
      </w:r>
    </w:p>
    <w:p w14:paraId="34BB5B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(3)报送清单时，一个立案号原则上仅对应一个险种和一条赔案记录，如遇特殊情形，按如下规则处理：</w:t>
      </w:r>
    </w:p>
    <w:p w14:paraId="314DED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如一个立案号对应多个非车险险种的，只报送一条赔案记录，险种类型以主险为准，其他险种的赔款金额计入主险进行报送。若某一时点(统计期初或统计期末)该立案号项下任意一个险种处于未决状态的，则该时点赔款记录的案件状态为未决；若该立案号项下所有险种处于已决状态，赔款记录的支付时间按照计算规则(8)报送。</w:t>
      </w:r>
    </w:p>
    <w:p w14:paraId="5D4AA5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②交强险和商业车险共用一个立案号的，交强险和商业车险按两条赔案记录分别进行报送，两个险种的赔款金额不得累加。</w:t>
      </w:r>
    </w:p>
    <w:p w14:paraId="37EB14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③对于重开案件，只报送一条赔案记录，赔款金额以统计期末该立案号项下累计获赔的金额为准(如一个立案号同时涉及交强险和商业车险的，参照报数口径(3)②处理)。</w:t>
      </w:r>
    </w:p>
    <w:p w14:paraId="734D1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2.计算规则：</w:t>
      </w:r>
    </w:p>
    <w:p w14:paraId="163C5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(1)立案案件是指统计期内在保险公司理赔系统中进行人工立案和系统强制立案的赔案案件。</w:t>
      </w:r>
    </w:p>
    <w:p w14:paraId="255039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(2)已决赔案是指已立案，并作正常结案、零结案、拒赔结案、立案注销处理的赔案。</w:t>
      </w:r>
    </w:p>
    <w:p w14:paraId="5BCAE1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(3)未决赔案是指已立案，但案件尚未处理完结(案件状态不为已决)的赔案。</w:t>
      </w:r>
    </w:p>
    <w:p w14:paraId="36DAF3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(4)正常结案案件是指在保险公司理赔系统中已结案，且财务系统中已</w:t>
      </w:r>
    </w:p>
    <w:p w14:paraId="740EE7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67655F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完成该赔案下最后一笔赔款(不含理赔费用)支付的赔案。</w:t>
      </w:r>
    </w:p>
    <w:p w14:paraId="7CCA14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(5)零结案案件是指在保险公司理赔系统中已结案，且支付的赔款金额为零(不含暂未支付的情形),可正常支付直接理赔费用的赔案。</w:t>
      </w:r>
    </w:p>
    <w:p w14:paraId="145E2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(6)拒赔结案案件是指保险公司对于不属于保险责任的已立案案件做出拒绝赔偿或给付保险金的决定，并在理赔系统中予以结案的案件。</w:t>
      </w:r>
    </w:p>
    <w:p w14:paraId="25A7CD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(7)报案时间是指保险公司理赔系统生成赔案报案号的系统时间。</w:t>
      </w:r>
    </w:p>
    <w:p w14:paraId="1C878E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支付时间是指保险公司财务系统支付该赔案下最后一笔赔款(不含理赔费用)指令发送成功的系统时间(最后一笔赔款金额为零或者负数的，取前一笔赔款金额为正数的支付指令发送成功的系统时间)。如指令发送后，银行回盘显示赔款支付不成功的，视同指令发送不成功处理。</w:t>
      </w:r>
    </w:p>
    <w:p w14:paraId="72CA9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(9)计算万元以下赔案案均报案支付周期、理赔案件结案率和理赔获赔率指标时，重开案件和含盗抢险的商业车险案件应予以剔除。</w:t>
      </w:r>
    </w:p>
    <w:p w14:paraId="24C922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(10)统计期内的已决赔案案件数量按如下口径计算：</w:t>
      </w:r>
    </w:p>
    <w:p w14:paraId="299827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①正常结案案件以结案时间(理赔系统标记结案动作的系统时间)和支付时间(参见计算规则(8))中的较大者落在统计期内为准。</w:t>
      </w:r>
    </w:p>
    <w:p w14:paraId="48EDD2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②零结案案件以零结案时间落在统计期内为准。</w:t>
      </w:r>
    </w:p>
    <w:p w14:paraId="75A50B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③拒赔结案案件以拒赔时间落在统计期内为准。</w:t>
      </w:r>
    </w:p>
    <w:p w14:paraId="4D66AD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④立案注销案件以注销时间落在统计期内为准。</w:t>
      </w:r>
    </w:p>
    <w:p w14:paraId="7985E2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(11)万元以下正常结案案件是指赔款金额小于或等于一万元的正常结案案件。</w:t>
      </w:r>
    </w:p>
    <w:p w14:paraId="55A5D86D">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理赔清单数据涉及的字段及说明</w:t>
      </w:r>
    </w:p>
    <w:p w14:paraId="70163B70">
      <w:pPr>
        <w:spacing w:line="136" w:lineRule="auto"/>
        <w:rPr>
          <w:rFonts w:ascii="Arial"/>
          <w:sz w:val="2"/>
        </w:rPr>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65"/>
        <w:gridCol w:w="5584"/>
        <w:gridCol w:w="1265"/>
      </w:tblGrid>
      <w:tr w14:paraId="282E770E">
        <w:trPr>
          <w:trHeight w:val="371" w:hRule="atLeast"/>
        </w:trPr>
        <w:tc>
          <w:tcPr>
            <w:tcW w:w="881" w:type="pct"/>
            <w:vAlign w:val="center"/>
          </w:tcPr>
          <w:p w14:paraId="494E28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数据项</w:t>
            </w:r>
          </w:p>
        </w:tc>
        <w:tc>
          <w:tcPr>
            <w:tcW w:w="3357" w:type="pct"/>
            <w:vAlign w:val="center"/>
          </w:tcPr>
          <w:p w14:paraId="068655C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tc>
        <w:tc>
          <w:tcPr>
            <w:tcW w:w="760" w:type="pct"/>
            <w:vAlign w:val="center"/>
          </w:tcPr>
          <w:p w14:paraId="39F501E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是否必填</w:t>
            </w:r>
          </w:p>
        </w:tc>
      </w:tr>
      <w:tr w14:paraId="6363B31A">
        <w:trPr>
          <w:trHeight w:val="367" w:hRule="atLeast"/>
        </w:trPr>
        <w:tc>
          <w:tcPr>
            <w:tcW w:w="881" w:type="pct"/>
            <w:vAlign w:val="center"/>
          </w:tcPr>
          <w:p w14:paraId="02FE0AC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保单号</w:t>
            </w:r>
          </w:p>
        </w:tc>
        <w:tc>
          <w:tcPr>
            <w:tcW w:w="3357" w:type="pct"/>
            <w:vAlign w:val="center"/>
          </w:tcPr>
          <w:p w14:paraId="1E016B4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保险公司出具的保险合同编号</w:t>
            </w:r>
          </w:p>
        </w:tc>
        <w:tc>
          <w:tcPr>
            <w:tcW w:w="760" w:type="pct"/>
            <w:vMerge w:val="restart"/>
            <w:vAlign w:val="center"/>
          </w:tcPr>
          <w:p w14:paraId="648927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参照《2018年保险公司服务评价系统数据报送规范》</w:t>
            </w:r>
          </w:p>
        </w:tc>
      </w:tr>
      <w:tr w14:paraId="7D5DC675">
        <w:trPr>
          <w:trHeight w:val="371" w:hRule="atLeast"/>
        </w:trPr>
        <w:tc>
          <w:tcPr>
            <w:tcW w:w="881" w:type="pct"/>
            <w:vAlign w:val="center"/>
          </w:tcPr>
          <w:p w14:paraId="217735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案件险种类型</w:t>
            </w:r>
          </w:p>
        </w:tc>
        <w:tc>
          <w:tcPr>
            <w:tcW w:w="3357" w:type="pct"/>
            <w:vAlign w:val="center"/>
          </w:tcPr>
          <w:p w14:paraId="0419A8C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赔案对应的险种</w:t>
            </w:r>
          </w:p>
        </w:tc>
        <w:tc>
          <w:tcPr>
            <w:tcW w:w="760" w:type="pct"/>
            <w:vMerge w:val="continue"/>
            <w:vAlign w:val="center"/>
          </w:tcPr>
          <w:p w14:paraId="5136CD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A00D8E2">
        <w:trPr>
          <w:trHeight w:val="371" w:hRule="atLeast"/>
        </w:trPr>
        <w:tc>
          <w:tcPr>
            <w:tcW w:w="881" w:type="pct"/>
            <w:shd w:val="clear" w:color="auto" w:fill="auto"/>
            <w:vAlign w:val="center"/>
          </w:tcPr>
          <w:p w14:paraId="6C691B7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出险时间</w:t>
            </w:r>
          </w:p>
        </w:tc>
        <w:tc>
          <w:tcPr>
            <w:tcW w:w="3357" w:type="pct"/>
            <w:shd w:val="clear" w:color="auto" w:fill="auto"/>
            <w:vAlign w:val="center"/>
          </w:tcPr>
          <w:p w14:paraId="4DE115A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保险事故发生的时间</w:t>
            </w:r>
          </w:p>
        </w:tc>
        <w:tc>
          <w:tcPr>
            <w:tcW w:w="760" w:type="pct"/>
            <w:vMerge w:val="continue"/>
            <w:vAlign w:val="center"/>
          </w:tcPr>
          <w:p w14:paraId="0B265CE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9515AA2">
        <w:trPr>
          <w:trHeight w:val="371" w:hRule="atLeast"/>
        </w:trPr>
        <w:tc>
          <w:tcPr>
            <w:tcW w:w="881" w:type="pct"/>
            <w:shd w:val="clear" w:color="auto" w:fill="auto"/>
            <w:vAlign w:val="center"/>
          </w:tcPr>
          <w:p w14:paraId="58CB80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报案号</w:t>
            </w:r>
          </w:p>
        </w:tc>
        <w:tc>
          <w:tcPr>
            <w:tcW w:w="3357" w:type="pct"/>
            <w:shd w:val="clear" w:color="auto" w:fill="auto"/>
            <w:vAlign w:val="center"/>
          </w:tcPr>
          <w:p w14:paraId="1EBBA9C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投保人、被保险人或者受益人将保险事故通知保险人时，理赔系统生成的编号</w:t>
            </w:r>
          </w:p>
        </w:tc>
        <w:tc>
          <w:tcPr>
            <w:tcW w:w="760" w:type="pct"/>
            <w:vMerge w:val="continue"/>
            <w:vAlign w:val="center"/>
          </w:tcPr>
          <w:p w14:paraId="52B8AD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2AD7F05A">
        <w:trPr>
          <w:trHeight w:val="371" w:hRule="atLeast"/>
        </w:trPr>
        <w:tc>
          <w:tcPr>
            <w:tcW w:w="881" w:type="pct"/>
            <w:shd w:val="clear" w:color="auto" w:fill="auto"/>
            <w:vAlign w:val="center"/>
          </w:tcPr>
          <w:p w14:paraId="4C2A26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报案时间</w:t>
            </w:r>
          </w:p>
        </w:tc>
        <w:tc>
          <w:tcPr>
            <w:tcW w:w="3357" w:type="pct"/>
            <w:shd w:val="clear" w:color="auto" w:fill="auto"/>
            <w:vAlign w:val="center"/>
          </w:tcPr>
          <w:p w14:paraId="3F087F9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理赔系统生成理赔报案号的系统时间</w:t>
            </w:r>
          </w:p>
        </w:tc>
        <w:tc>
          <w:tcPr>
            <w:tcW w:w="760" w:type="pct"/>
            <w:vMerge w:val="continue"/>
            <w:vAlign w:val="center"/>
          </w:tcPr>
          <w:p w14:paraId="0D2276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9100CBD">
        <w:trPr>
          <w:trHeight w:val="371" w:hRule="atLeast"/>
        </w:trPr>
        <w:tc>
          <w:tcPr>
            <w:tcW w:w="881" w:type="pct"/>
            <w:shd w:val="clear" w:color="auto" w:fill="auto"/>
            <w:vAlign w:val="center"/>
          </w:tcPr>
          <w:p w14:paraId="6CA4BC8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立案号</w:t>
            </w:r>
          </w:p>
        </w:tc>
        <w:tc>
          <w:tcPr>
            <w:tcW w:w="3357" w:type="pct"/>
            <w:shd w:val="clear" w:color="auto" w:fill="auto"/>
            <w:vAlign w:val="center"/>
          </w:tcPr>
          <w:p w14:paraId="3063B28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理赔系统在立案环节生成的编号</w:t>
            </w:r>
          </w:p>
        </w:tc>
        <w:tc>
          <w:tcPr>
            <w:tcW w:w="760" w:type="pct"/>
            <w:vMerge w:val="continue"/>
            <w:vAlign w:val="center"/>
          </w:tcPr>
          <w:p w14:paraId="4935D6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183EFB1">
        <w:trPr>
          <w:trHeight w:val="371" w:hRule="atLeast"/>
        </w:trPr>
        <w:tc>
          <w:tcPr>
            <w:tcW w:w="881" w:type="pct"/>
            <w:shd w:val="clear" w:color="auto" w:fill="auto"/>
            <w:vAlign w:val="center"/>
          </w:tcPr>
          <w:p w14:paraId="2BBB2EE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立案时间</w:t>
            </w:r>
          </w:p>
        </w:tc>
        <w:tc>
          <w:tcPr>
            <w:tcW w:w="3357" w:type="pct"/>
            <w:shd w:val="clear" w:color="auto" w:fill="auto"/>
            <w:vAlign w:val="center"/>
          </w:tcPr>
          <w:p w14:paraId="4083CFB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保险公司人工立案或理赔系统强制立案的系统时间</w:t>
            </w:r>
          </w:p>
        </w:tc>
        <w:tc>
          <w:tcPr>
            <w:tcW w:w="760" w:type="pct"/>
            <w:vMerge w:val="continue"/>
            <w:vAlign w:val="center"/>
          </w:tcPr>
          <w:p w14:paraId="303E4AD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826747D">
        <w:trPr>
          <w:trHeight w:val="371" w:hRule="atLeast"/>
        </w:trPr>
        <w:tc>
          <w:tcPr>
            <w:tcW w:w="881" w:type="pct"/>
            <w:shd w:val="clear" w:color="auto" w:fill="auto"/>
            <w:vAlign w:val="center"/>
          </w:tcPr>
          <w:p w14:paraId="6473853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统计期初案件是否已决</w:t>
            </w:r>
          </w:p>
        </w:tc>
        <w:tc>
          <w:tcPr>
            <w:tcW w:w="3357" w:type="pct"/>
            <w:shd w:val="clear" w:color="auto" w:fill="auto"/>
            <w:vAlign w:val="center"/>
          </w:tcPr>
          <w:p w14:paraId="36C3991D">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是/否(对于统计期内立案的赔案记录，其数据项应填写为否)</w:t>
            </w:r>
          </w:p>
        </w:tc>
        <w:tc>
          <w:tcPr>
            <w:tcW w:w="760" w:type="pct"/>
            <w:vMerge w:val="continue"/>
            <w:vAlign w:val="center"/>
          </w:tcPr>
          <w:p w14:paraId="03C661E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290A876">
        <w:trPr>
          <w:trHeight w:val="371" w:hRule="atLeast"/>
        </w:trPr>
        <w:tc>
          <w:tcPr>
            <w:tcW w:w="881" w:type="pct"/>
            <w:shd w:val="clear" w:color="auto" w:fill="auto"/>
            <w:vAlign w:val="center"/>
          </w:tcPr>
          <w:p w14:paraId="54C22D7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统计期末案件是否已决</w:t>
            </w:r>
          </w:p>
        </w:tc>
        <w:tc>
          <w:tcPr>
            <w:tcW w:w="3357" w:type="pct"/>
            <w:shd w:val="clear" w:color="auto" w:fill="auto"/>
            <w:vAlign w:val="center"/>
          </w:tcPr>
          <w:p w14:paraId="5F58F11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是/否</w:t>
            </w:r>
          </w:p>
        </w:tc>
        <w:tc>
          <w:tcPr>
            <w:tcW w:w="760" w:type="pct"/>
            <w:vMerge w:val="continue"/>
            <w:vAlign w:val="center"/>
          </w:tcPr>
          <w:p w14:paraId="1B38D58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BE77123">
        <w:trPr>
          <w:trHeight w:val="371" w:hRule="atLeast"/>
        </w:trPr>
        <w:tc>
          <w:tcPr>
            <w:tcW w:w="881" w:type="pct"/>
            <w:shd w:val="clear" w:color="auto" w:fill="auto"/>
            <w:vAlign w:val="center"/>
          </w:tcPr>
          <w:p w14:paraId="2C3ABB3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统计期末已决赔案类型</w:t>
            </w:r>
          </w:p>
        </w:tc>
        <w:tc>
          <w:tcPr>
            <w:tcW w:w="3357" w:type="pct"/>
            <w:shd w:val="clear" w:color="auto" w:fill="auto"/>
            <w:vAlign w:val="center"/>
          </w:tcPr>
          <w:p w14:paraId="53749F01">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正常结案/拒赔结案/零结案/立案注销</w:t>
            </w:r>
          </w:p>
        </w:tc>
        <w:tc>
          <w:tcPr>
            <w:tcW w:w="760" w:type="pct"/>
            <w:vMerge w:val="continue"/>
            <w:vAlign w:val="center"/>
          </w:tcPr>
          <w:p w14:paraId="112BA01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B566294">
        <w:trPr>
          <w:trHeight w:val="371" w:hRule="atLeast"/>
        </w:trPr>
        <w:tc>
          <w:tcPr>
            <w:tcW w:w="881" w:type="pct"/>
            <w:shd w:val="clear" w:color="auto" w:fill="auto"/>
            <w:vAlign w:val="center"/>
          </w:tcPr>
          <w:p w14:paraId="2508431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核赔通过时间</w:t>
            </w:r>
          </w:p>
        </w:tc>
        <w:tc>
          <w:tcPr>
            <w:tcW w:w="3357" w:type="pct"/>
            <w:shd w:val="clear" w:color="auto" w:fill="auto"/>
            <w:vAlign w:val="center"/>
          </w:tcPr>
          <w:p w14:paraId="112D09F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核赔通过时间是指保险人理赔业务系统中确认保险理赔责任和赔付金额、应开始支付赔款(支付类单证收集齐全)的时间，同一赔案中存在多次核赔的，以最后一次核赔通过时间为准，对诉讼判决类案件，应以判决生效日作为准</w:t>
            </w:r>
          </w:p>
        </w:tc>
        <w:tc>
          <w:tcPr>
            <w:tcW w:w="760" w:type="pct"/>
            <w:vMerge w:val="continue"/>
            <w:vAlign w:val="center"/>
          </w:tcPr>
          <w:p w14:paraId="60275F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0356C49">
        <w:trPr>
          <w:trHeight w:val="371" w:hRule="atLeast"/>
        </w:trPr>
        <w:tc>
          <w:tcPr>
            <w:tcW w:w="881" w:type="pct"/>
            <w:shd w:val="clear" w:color="auto" w:fill="auto"/>
            <w:vAlign w:val="center"/>
          </w:tcPr>
          <w:p w14:paraId="772C48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结案时间</w:t>
            </w:r>
          </w:p>
        </w:tc>
        <w:tc>
          <w:tcPr>
            <w:tcW w:w="3357" w:type="pct"/>
            <w:shd w:val="clear" w:color="auto" w:fill="auto"/>
            <w:vAlign w:val="center"/>
          </w:tcPr>
          <w:p w14:paraId="64A90A43">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正常结案案件以理赔系统标记结案动作的系统时间为准零结案案件的结案时间以零结时间为准拒赔结案案件的结案时间以拒赔时间为准立案注销案件的结案时间以注销时间为准</w:t>
            </w:r>
          </w:p>
        </w:tc>
        <w:tc>
          <w:tcPr>
            <w:tcW w:w="760" w:type="pct"/>
            <w:vMerge w:val="continue"/>
            <w:vAlign w:val="center"/>
          </w:tcPr>
          <w:p w14:paraId="6B6B2D4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0D9FECC">
        <w:trPr>
          <w:trHeight w:val="371" w:hRule="atLeast"/>
        </w:trPr>
        <w:tc>
          <w:tcPr>
            <w:tcW w:w="881" w:type="pct"/>
            <w:shd w:val="clear" w:color="auto" w:fill="auto"/>
            <w:vAlign w:val="center"/>
          </w:tcPr>
          <w:p w14:paraId="14DE0BE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支付时间</w:t>
            </w:r>
          </w:p>
        </w:tc>
        <w:tc>
          <w:tcPr>
            <w:tcW w:w="3357" w:type="pct"/>
            <w:shd w:val="clear" w:color="auto" w:fill="auto"/>
            <w:vAlign w:val="center"/>
          </w:tcPr>
          <w:p w14:paraId="18E9FA4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保险公司财务系统支付该赔案下最后一笔赔款(不含理赔费用)指令发送完成的系统时间(最后一笔赔款金额为零或者负数的，取前一笔赔款金额为正数的支付指令发送成功的系统时间)如指令发送后，银行回盘显示赔款支付不成功的，视同指令发送不成功处理拒赔结案、零结案、立案注销案件无须填写支付时间</w:t>
            </w:r>
          </w:p>
        </w:tc>
        <w:tc>
          <w:tcPr>
            <w:tcW w:w="760" w:type="pct"/>
            <w:vMerge w:val="continue"/>
            <w:vAlign w:val="center"/>
          </w:tcPr>
          <w:p w14:paraId="547778A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D0EA315">
        <w:trPr>
          <w:trHeight w:val="371" w:hRule="atLeast"/>
        </w:trPr>
        <w:tc>
          <w:tcPr>
            <w:tcW w:w="881" w:type="pct"/>
            <w:shd w:val="clear" w:color="auto" w:fill="auto"/>
            <w:vAlign w:val="center"/>
          </w:tcPr>
          <w:p w14:paraId="1F78F1C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赔款金额</w:t>
            </w:r>
          </w:p>
        </w:tc>
        <w:tc>
          <w:tcPr>
            <w:tcW w:w="3357" w:type="pct"/>
            <w:shd w:val="clear" w:color="auto" w:fill="auto"/>
            <w:vAlign w:val="center"/>
          </w:tcPr>
          <w:p w14:paraId="5C2C7C8B">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同一立案号下的结案总金额(不含理赔费用),交强险和商业车险共用一个立案号的，参照报数口径(3)②处理零结案案件的赔款金额填写为0.00拒赔结案和立案注销案件无须填写结案金额</w:t>
            </w:r>
          </w:p>
        </w:tc>
        <w:tc>
          <w:tcPr>
            <w:tcW w:w="760" w:type="pct"/>
            <w:vMerge w:val="continue"/>
            <w:vAlign w:val="center"/>
          </w:tcPr>
          <w:p w14:paraId="7E5FF8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0D2D896">
        <w:trPr>
          <w:trHeight w:val="371" w:hRule="atLeast"/>
        </w:trPr>
        <w:tc>
          <w:tcPr>
            <w:tcW w:w="881" w:type="pct"/>
            <w:shd w:val="clear" w:color="auto" w:fill="auto"/>
            <w:vAlign w:val="center"/>
          </w:tcPr>
          <w:p w14:paraId="46E70D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商车险赔案中是否含盗抢险</w:t>
            </w:r>
          </w:p>
        </w:tc>
        <w:tc>
          <w:tcPr>
            <w:tcW w:w="3357" w:type="pct"/>
            <w:shd w:val="clear" w:color="auto" w:fill="auto"/>
            <w:vAlign w:val="center"/>
          </w:tcPr>
          <w:p w14:paraId="063C9F5F">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是/否(对于非商车险案件，其数据项应填写为否)</w:t>
            </w:r>
          </w:p>
        </w:tc>
        <w:tc>
          <w:tcPr>
            <w:tcW w:w="760" w:type="pct"/>
            <w:vMerge w:val="continue"/>
            <w:vAlign w:val="center"/>
          </w:tcPr>
          <w:p w14:paraId="445D3A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3E5B017">
        <w:trPr>
          <w:trHeight w:val="371" w:hRule="atLeast"/>
        </w:trPr>
        <w:tc>
          <w:tcPr>
            <w:tcW w:w="881" w:type="pct"/>
            <w:shd w:val="clear" w:color="auto" w:fill="auto"/>
            <w:vAlign w:val="center"/>
          </w:tcPr>
          <w:p w14:paraId="211A01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是否重开案件</w:t>
            </w:r>
          </w:p>
        </w:tc>
        <w:tc>
          <w:tcPr>
            <w:tcW w:w="3357" w:type="pct"/>
            <w:shd w:val="clear" w:color="auto" w:fill="auto"/>
            <w:vAlign w:val="center"/>
          </w:tcPr>
          <w:p w14:paraId="0D1C96C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是/否</w:t>
            </w:r>
          </w:p>
        </w:tc>
        <w:tc>
          <w:tcPr>
            <w:tcW w:w="760" w:type="pct"/>
            <w:vMerge w:val="continue"/>
            <w:vAlign w:val="center"/>
          </w:tcPr>
          <w:p w14:paraId="32B6BB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65C1109">
        <w:trPr>
          <w:trHeight w:val="371" w:hRule="atLeast"/>
        </w:trPr>
        <w:tc>
          <w:tcPr>
            <w:tcW w:w="881" w:type="pct"/>
            <w:shd w:val="clear" w:color="auto" w:fill="auto"/>
            <w:vAlign w:val="center"/>
          </w:tcPr>
          <w:p w14:paraId="71EEA7E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重开次数</w:t>
            </w:r>
          </w:p>
        </w:tc>
        <w:tc>
          <w:tcPr>
            <w:tcW w:w="3357" w:type="pct"/>
            <w:shd w:val="clear" w:color="auto" w:fill="auto"/>
            <w:vAlign w:val="center"/>
          </w:tcPr>
          <w:p w14:paraId="62D550F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截至统计期末，该案件的重开次数，根据事实情况填写</w:t>
            </w:r>
          </w:p>
        </w:tc>
        <w:tc>
          <w:tcPr>
            <w:tcW w:w="760" w:type="pct"/>
            <w:vMerge w:val="continue"/>
            <w:vAlign w:val="center"/>
          </w:tcPr>
          <w:p w14:paraId="619A994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A9FA6D8">
        <w:trPr>
          <w:trHeight w:val="371" w:hRule="atLeast"/>
        </w:trPr>
        <w:tc>
          <w:tcPr>
            <w:tcW w:w="881" w:type="pct"/>
            <w:shd w:val="clear" w:color="auto" w:fill="auto"/>
            <w:vAlign w:val="center"/>
          </w:tcPr>
          <w:p w14:paraId="3EBF8D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保险机构代码</w:t>
            </w:r>
          </w:p>
        </w:tc>
        <w:tc>
          <w:tcPr>
            <w:tcW w:w="3357" w:type="pct"/>
            <w:shd w:val="clear" w:color="auto" w:fill="auto"/>
            <w:vAlign w:val="center"/>
          </w:tcPr>
          <w:p w14:paraId="659589EE">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根据共性代码对照表填写</w:t>
            </w:r>
          </w:p>
        </w:tc>
        <w:tc>
          <w:tcPr>
            <w:tcW w:w="760" w:type="pct"/>
            <w:vMerge w:val="continue"/>
            <w:vAlign w:val="center"/>
          </w:tcPr>
          <w:p w14:paraId="713856F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C5DF90F">
        <w:trPr>
          <w:trHeight w:val="371" w:hRule="atLeast"/>
        </w:trPr>
        <w:tc>
          <w:tcPr>
            <w:tcW w:w="881" w:type="pct"/>
            <w:shd w:val="clear" w:color="auto" w:fill="auto"/>
            <w:vAlign w:val="center"/>
          </w:tcPr>
          <w:p w14:paraId="63F787F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监管辖区代码</w:t>
            </w:r>
          </w:p>
        </w:tc>
        <w:tc>
          <w:tcPr>
            <w:tcW w:w="3357" w:type="pct"/>
            <w:shd w:val="clear" w:color="auto" w:fill="auto"/>
            <w:vAlign w:val="center"/>
          </w:tcPr>
          <w:p w14:paraId="09C25BB5">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lang w:val="en-US" w:eastAsia="en-US"/>
              </w:rPr>
            </w:pPr>
            <w:r>
              <w:rPr>
                <w:rFonts w:hint="eastAsia" w:ascii="仿宋_GB2312" w:hAnsi="仿宋_GB2312" w:eastAsia="仿宋_GB2312" w:cs="仿宋_GB2312"/>
                <w:sz w:val="24"/>
                <w:szCs w:val="24"/>
              </w:rPr>
              <w:t>码表校验，包括31个省和5个计划单列市</w:t>
            </w:r>
          </w:p>
        </w:tc>
        <w:tc>
          <w:tcPr>
            <w:tcW w:w="760" w:type="pct"/>
            <w:vMerge w:val="continue"/>
            <w:vAlign w:val="center"/>
          </w:tcPr>
          <w:p w14:paraId="0F305D6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00CF004C">
      <w:pPr>
        <w:spacing w:line="38" w:lineRule="exact"/>
      </w:pPr>
    </w:p>
    <w:p w14:paraId="4F7062C3">
      <w:pPr>
        <w:rPr>
          <w:rFonts w:ascii="Arial"/>
          <w:sz w:val="21"/>
        </w:rPr>
      </w:pPr>
    </w:p>
    <w:p w14:paraId="7A25A35B">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表4</w:t>
      </w:r>
      <w:r>
        <w:rPr>
          <w:rFonts w:hint="eastAsia" w:ascii="黑体" w:hAnsi="黑体" w:eastAsia="黑体" w:cs="黑体"/>
          <w:sz w:val="32"/>
          <w:szCs w:val="32"/>
          <w:lang w:eastAsia="zh-CN"/>
        </w:rPr>
        <w:t>：</w:t>
      </w:r>
      <w:r>
        <w:rPr>
          <w:rFonts w:hint="eastAsia" w:ascii="黑体" w:hAnsi="黑体" w:eastAsia="黑体" w:cs="黑体"/>
          <w:sz w:val="32"/>
          <w:szCs w:val="32"/>
        </w:rPr>
        <w:t>理赔案件结案率统计汇总表</w:t>
      </w:r>
    </w:p>
    <w:p w14:paraId="27248B6E">
      <w:pPr>
        <w:spacing w:line="20" w:lineRule="exact"/>
      </w:pP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37"/>
        <w:gridCol w:w="1574"/>
        <w:gridCol w:w="2652"/>
        <w:gridCol w:w="1550"/>
      </w:tblGrid>
      <w:tr w14:paraId="1A06BC03">
        <w:trPr>
          <w:trHeight w:val="623" w:hRule="atLeast"/>
        </w:trPr>
        <w:tc>
          <w:tcPr>
            <w:tcW w:w="1525" w:type="pct"/>
            <w:vAlign w:val="center"/>
          </w:tcPr>
          <w:p w14:paraId="3C59056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946" w:type="pct"/>
            <w:vAlign w:val="center"/>
          </w:tcPr>
          <w:p w14:paraId="7869B0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统计期内已决赔案数量</w:t>
            </w:r>
          </w:p>
        </w:tc>
        <w:tc>
          <w:tcPr>
            <w:tcW w:w="1594" w:type="pct"/>
            <w:vAlign w:val="center"/>
          </w:tcPr>
          <w:p w14:paraId="5C79897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统计期初未决赔案案件数量+统计期内立案案件数量</w:t>
            </w:r>
          </w:p>
        </w:tc>
        <w:tc>
          <w:tcPr>
            <w:tcW w:w="932" w:type="pct"/>
            <w:vAlign w:val="center"/>
          </w:tcPr>
          <w:p w14:paraId="07F2726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理赔案件结案率</w:t>
            </w:r>
          </w:p>
        </w:tc>
      </w:tr>
      <w:tr w14:paraId="3BE98699">
        <w:trPr>
          <w:trHeight w:val="309" w:hRule="atLeast"/>
        </w:trPr>
        <w:tc>
          <w:tcPr>
            <w:tcW w:w="1525" w:type="pct"/>
            <w:vAlign w:val="center"/>
          </w:tcPr>
          <w:p w14:paraId="5A77D76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946" w:type="pct"/>
            <w:vAlign w:val="center"/>
          </w:tcPr>
          <w:p w14:paraId="2B8A943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58A3FD5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2482A9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D7C49BF">
        <w:trPr>
          <w:trHeight w:val="309" w:hRule="atLeast"/>
        </w:trPr>
        <w:tc>
          <w:tcPr>
            <w:tcW w:w="1525" w:type="pct"/>
            <w:vAlign w:val="center"/>
          </w:tcPr>
          <w:p w14:paraId="2357DE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总公司直属(含虚拟)</w:t>
            </w:r>
          </w:p>
        </w:tc>
        <w:tc>
          <w:tcPr>
            <w:tcW w:w="946" w:type="pct"/>
            <w:vAlign w:val="center"/>
          </w:tcPr>
          <w:p w14:paraId="7FCD13A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61D05F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4B790EF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EB2378E">
        <w:trPr>
          <w:trHeight w:val="319" w:hRule="atLeast"/>
        </w:trPr>
        <w:tc>
          <w:tcPr>
            <w:tcW w:w="1525" w:type="pct"/>
            <w:vAlign w:val="center"/>
          </w:tcPr>
          <w:p w14:paraId="4E3E9F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北京</w:t>
            </w:r>
          </w:p>
        </w:tc>
        <w:tc>
          <w:tcPr>
            <w:tcW w:w="946" w:type="pct"/>
            <w:vAlign w:val="center"/>
          </w:tcPr>
          <w:p w14:paraId="3AFA554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1B9933D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648575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020BF92">
        <w:trPr>
          <w:trHeight w:val="309" w:hRule="atLeast"/>
        </w:trPr>
        <w:tc>
          <w:tcPr>
            <w:tcW w:w="1525" w:type="pct"/>
            <w:vAlign w:val="center"/>
          </w:tcPr>
          <w:p w14:paraId="472CC35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天津</w:t>
            </w:r>
          </w:p>
        </w:tc>
        <w:tc>
          <w:tcPr>
            <w:tcW w:w="946" w:type="pct"/>
            <w:vAlign w:val="center"/>
          </w:tcPr>
          <w:p w14:paraId="32F713E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121B5CF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7F2698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F797ACC">
        <w:trPr>
          <w:trHeight w:val="309" w:hRule="atLeast"/>
        </w:trPr>
        <w:tc>
          <w:tcPr>
            <w:tcW w:w="1525" w:type="pct"/>
            <w:vAlign w:val="center"/>
          </w:tcPr>
          <w:p w14:paraId="73F7EEB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946" w:type="pct"/>
            <w:vAlign w:val="center"/>
          </w:tcPr>
          <w:p w14:paraId="2D090F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35A8071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2760422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4397F46">
        <w:trPr>
          <w:trHeight w:val="308" w:hRule="atLeast"/>
        </w:trPr>
        <w:tc>
          <w:tcPr>
            <w:tcW w:w="1525" w:type="pct"/>
            <w:vAlign w:val="center"/>
          </w:tcPr>
          <w:p w14:paraId="7BB0887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青海</w:t>
            </w:r>
          </w:p>
        </w:tc>
        <w:tc>
          <w:tcPr>
            <w:tcW w:w="946" w:type="pct"/>
            <w:vAlign w:val="center"/>
          </w:tcPr>
          <w:p w14:paraId="17963A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7C5DB45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331F36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FD4DD5B">
        <w:trPr>
          <w:trHeight w:val="309" w:hRule="atLeast"/>
        </w:trPr>
        <w:tc>
          <w:tcPr>
            <w:tcW w:w="1525" w:type="pct"/>
            <w:vAlign w:val="center"/>
          </w:tcPr>
          <w:p w14:paraId="139AD34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宁夏</w:t>
            </w:r>
          </w:p>
        </w:tc>
        <w:tc>
          <w:tcPr>
            <w:tcW w:w="946" w:type="pct"/>
            <w:vAlign w:val="center"/>
          </w:tcPr>
          <w:p w14:paraId="62A8C38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68D95D4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728CA3B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2EDFFD8">
        <w:trPr>
          <w:trHeight w:val="314" w:hRule="atLeast"/>
        </w:trPr>
        <w:tc>
          <w:tcPr>
            <w:tcW w:w="1525" w:type="pct"/>
            <w:vAlign w:val="center"/>
          </w:tcPr>
          <w:p w14:paraId="271C1C9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新疆</w:t>
            </w:r>
          </w:p>
        </w:tc>
        <w:tc>
          <w:tcPr>
            <w:tcW w:w="946" w:type="pct"/>
            <w:vAlign w:val="center"/>
          </w:tcPr>
          <w:p w14:paraId="2E83188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594" w:type="pct"/>
            <w:vAlign w:val="center"/>
          </w:tcPr>
          <w:p w14:paraId="1E094FE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32" w:type="pct"/>
            <w:vAlign w:val="center"/>
          </w:tcPr>
          <w:p w14:paraId="48FA5AD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07FD1D0E">
      <w:pPr>
        <w:spacing w:line="322" w:lineRule="auto"/>
        <w:rPr>
          <w:rFonts w:ascii="Arial"/>
          <w:sz w:val="21"/>
        </w:rPr>
      </w:pPr>
    </w:p>
    <w:p w14:paraId="7661CC89">
      <w:pPr>
        <w:spacing w:line="323" w:lineRule="auto"/>
        <w:rPr>
          <w:rFonts w:ascii="Arial"/>
          <w:sz w:val="21"/>
        </w:rPr>
      </w:pPr>
    </w:p>
    <w:p w14:paraId="2BE86AAE">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表5</w:t>
      </w:r>
      <w:r>
        <w:rPr>
          <w:rFonts w:hint="eastAsia" w:ascii="黑体" w:hAnsi="黑体" w:eastAsia="黑体" w:cs="黑体"/>
          <w:sz w:val="32"/>
          <w:szCs w:val="32"/>
          <w:lang w:eastAsia="zh-CN"/>
        </w:rPr>
        <w:t>：</w:t>
      </w:r>
      <w:r>
        <w:rPr>
          <w:rFonts w:hint="eastAsia" w:ascii="黑体" w:hAnsi="黑体" w:eastAsia="黑体" w:cs="黑体"/>
          <w:sz w:val="32"/>
          <w:szCs w:val="32"/>
        </w:rPr>
        <w:t>理赔获赔率统计汇总表</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824"/>
        <w:gridCol w:w="1949"/>
        <w:gridCol w:w="1813"/>
        <w:gridCol w:w="1727"/>
      </w:tblGrid>
      <w:tr w14:paraId="206C59A4">
        <w:trPr>
          <w:trHeight w:val="623" w:hRule="atLeast"/>
        </w:trPr>
        <w:tc>
          <w:tcPr>
            <w:tcW w:w="1698" w:type="pct"/>
            <w:vAlign w:val="center"/>
          </w:tcPr>
          <w:p w14:paraId="7D74E53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1172" w:type="pct"/>
            <w:vAlign w:val="center"/>
          </w:tcPr>
          <w:p w14:paraId="62F1D6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统计期内正常结案案件数量</w:t>
            </w:r>
          </w:p>
        </w:tc>
        <w:tc>
          <w:tcPr>
            <w:tcW w:w="1090" w:type="pct"/>
            <w:vAlign w:val="center"/>
          </w:tcPr>
          <w:p w14:paraId="05410B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统计期内拒赔结案案件数量</w:t>
            </w:r>
          </w:p>
        </w:tc>
        <w:tc>
          <w:tcPr>
            <w:tcW w:w="1038" w:type="pct"/>
            <w:vAlign w:val="center"/>
          </w:tcPr>
          <w:p w14:paraId="089F09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理赔获赔率</w:t>
            </w:r>
          </w:p>
        </w:tc>
      </w:tr>
      <w:tr w14:paraId="7F95CDC9">
        <w:trPr>
          <w:trHeight w:val="309" w:hRule="atLeast"/>
        </w:trPr>
        <w:tc>
          <w:tcPr>
            <w:tcW w:w="1698" w:type="pct"/>
            <w:vAlign w:val="center"/>
          </w:tcPr>
          <w:p w14:paraId="0E73BB1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1172" w:type="pct"/>
            <w:vAlign w:val="center"/>
          </w:tcPr>
          <w:p w14:paraId="56031E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0F7F772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0B6CC7F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B1A8869">
        <w:trPr>
          <w:trHeight w:val="308" w:hRule="atLeast"/>
        </w:trPr>
        <w:tc>
          <w:tcPr>
            <w:tcW w:w="1698" w:type="pct"/>
            <w:vAlign w:val="center"/>
          </w:tcPr>
          <w:p w14:paraId="33EAC43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总公司直属(含虚拟)</w:t>
            </w:r>
          </w:p>
        </w:tc>
        <w:tc>
          <w:tcPr>
            <w:tcW w:w="1172" w:type="pct"/>
            <w:vAlign w:val="center"/>
          </w:tcPr>
          <w:p w14:paraId="023FCCA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5A4993C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354C45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31502B1">
        <w:trPr>
          <w:trHeight w:val="309" w:hRule="atLeast"/>
        </w:trPr>
        <w:tc>
          <w:tcPr>
            <w:tcW w:w="1698" w:type="pct"/>
            <w:vAlign w:val="center"/>
          </w:tcPr>
          <w:p w14:paraId="4599CF7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北京</w:t>
            </w:r>
          </w:p>
        </w:tc>
        <w:tc>
          <w:tcPr>
            <w:tcW w:w="1172" w:type="pct"/>
            <w:vAlign w:val="center"/>
          </w:tcPr>
          <w:p w14:paraId="137C8E7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28DDEBE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1767471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F3F8133">
        <w:trPr>
          <w:trHeight w:val="309" w:hRule="atLeast"/>
        </w:trPr>
        <w:tc>
          <w:tcPr>
            <w:tcW w:w="1698" w:type="pct"/>
            <w:vAlign w:val="center"/>
          </w:tcPr>
          <w:p w14:paraId="4B902A1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天津</w:t>
            </w:r>
          </w:p>
        </w:tc>
        <w:tc>
          <w:tcPr>
            <w:tcW w:w="1172" w:type="pct"/>
            <w:vAlign w:val="center"/>
          </w:tcPr>
          <w:p w14:paraId="2455085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7487AF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7E12073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69FAE1D">
        <w:trPr>
          <w:trHeight w:val="309" w:hRule="atLeast"/>
        </w:trPr>
        <w:tc>
          <w:tcPr>
            <w:tcW w:w="1698" w:type="pct"/>
            <w:vAlign w:val="center"/>
          </w:tcPr>
          <w:p w14:paraId="128160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172" w:type="pct"/>
            <w:vAlign w:val="center"/>
          </w:tcPr>
          <w:p w14:paraId="407A228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3A95E4D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45BCE4F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3CA59BD">
        <w:trPr>
          <w:trHeight w:val="309" w:hRule="atLeast"/>
        </w:trPr>
        <w:tc>
          <w:tcPr>
            <w:tcW w:w="1698" w:type="pct"/>
            <w:vAlign w:val="center"/>
          </w:tcPr>
          <w:p w14:paraId="7393C1C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青海</w:t>
            </w:r>
          </w:p>
        </w:tc>
        <w:tc>
          <w:tcPr>
            <w:tcW w:w="1172" w:type="pct"/>
            <w:vAlign w:val="center"/>
          </w:tcPr>
          <w:p w14:paraId="5519D77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6114665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6B6BEF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4B809462">
        <w:trPr>
          <w:trHeight w:val="319" w:hRule="atLeast"/>
        </w:trPr>
        <w:tc>
          <w:tcPr>
            <w:tcW w:w="1698" w:type="pct"/>
            <w:vAlign w:val="center"/>
          </w:tcPr>
          <w:p w14:paraId="7B2F298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宁夏</w:t>
            </w:r>
          </w:p>
        </w:tc>
        <w:tc>
          <w:tcPr>
            <w:tcW w:w="1172" w:type="pct"/>
            <w:vAlign w:val="center"/>
          </w:tcPr>
          <w:p w14:paraId="44E2B27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1DACA6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303E21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2CD567EC">
        <w:trPr>
          <w:trHeight w:val="314" w:hRule="atLeast"/>
        </w:trPr>
        <w:tc>
          <w:tcPr>
            <w:tcW w:w="1698" w:type="pct"/>
            <w:vAlign w:val="center"/>
          </w:tcPr>
          <w:p w14:paraId="6399477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新疆</w:t>
            </w:r>
          </w:p>
        </w:tc>
        <w:tc>
          <w:tcPr>
            <w:tcW w:w="1172" w:type="pct"/>
            <w:vAlign w:val="center"/>
          </w:tcPr>
          <w:p w14:paraId="354000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90" w:type="pct"/>
            <w:vAlign w:val="center"/>
          </w:tcPr>
          <w:p w14:paraId="3F82D4A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38" w:type="pct"/>
            <w:vAlign w:val="center"/>
          </w:tcPr>
          <w:p w14:paraId="0CE8E9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59A21641">
      <w:pPr>
        <w:spacing w:line="317" w:lineRule="auto"/>
        <w:rPr>
          <w:rFonts w:hint="eastAsia" w:ascii="Arial" w:eastAsiaTheme="minorEastAsia"/>
          <w:sz w:val="21"/>
          <w:lang w:eastAsia="zh-CN"/>
        </w:rPr>
      </w:pPr>
    </w:p>
    <w:p w14:paraId="6EABFF0E">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表6</w:t>
      </w:r>
      <w:r>
        <w:rPr>
          <w:rFonts w:hint="eastAsia" w:ascii="黑体" w:hAnsi="黑体" w:eastAsia="黑体" w:cs="黑体"/>
          <w:sz w:val="32"/>
          <w:szCs w:val="32"/>
          <w:lang w:eastAsia="zh-CN"/>
        </w:rPr>
        <w:t>：</w:t>
      </w:r>
      <w:r>
        <w:rPr>
          <w:rFonts w:hint="eastAsia" w:ascii="黑体" w:hAnsi="黑体" w:eastAsia="黑体" w:cs="黑体"/>
          <w:sz w:val="32"/>
          <w:szCs w:val="32"/>
        </w:rPr>
        <w:t>万元以下赔案案均报案支付周期统计汇总表</w:t>
      </w:r>
    </w:p>
    <w:p w14:paraId="0E367993">
      <w:pPr>
        <w:spacing w:line="53" w:lineRule="exact"/>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973"/>
        <w:gridCol w:w="1806"/>
        <w:gridCol w:w="1577"/>
        <w:gridCol w:w="1958"/>
      </w:tblGrid>
      <w:tr w14:paraId="3D309FDE">
        <w:trPr>
          <w:trHeight w:val="1242" w:hRule="atLeast"/>
        </w:trPr>
        <w:tc>
          <w:tcPr>
            <w:tcW w:w="1788" w:type="pct"/>
            <w:vAlign w:val="center"/>
          </w:tcPr>
          <w:p w14:paraId="5EA90DA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1086" w:type="pct"/>
            <w:vAlign w:val="center"/>
          </w:tcPr>
          <w:p w14:paraId="0069B4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∑统计期内万元以下正常结案案件的[支付时间一报案时间](天)</w:t>
            </w:r>
          </w:p>
        </w:tc>
        <w:tc>
          <w:tcPr>
            <w:tcW w:w="948" w:type="pct"/>
            <w:vAlign w:val="center"/>
          </w:tcPr>
          <w:p w14:paraId="0AFCE0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统计期内万元以下正常结案案件数量</w:t>
            </w:r>
          </w:p>
        </w:tc>
        <w:tc>
          <w:tcPr>
            <w:tcW w:w="1177" w:type="pct"/>
            <w:vAlign w:val="center"/>
          </w:tcPr>
          <w:p w14:paraId="37CE4FA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万元以下赔案案均报案支付周期</w:t>
            </w:r>
          </w:p>
        </w:tc>
      </w:tr>
      <w:tr w14:paraId="6D8BEC14">
        <w:trPr>
          <w:trHeight w:val="309" w:hRule="atLeast"/>
        </w:trPr>
        <w:tc>
          <w:tcPr>
            <w:tcW w:w="1788" w:type="pct"/>
            <w:vAlign w:val="center"/>
          </w:tcPr>
          <w:p w14:paraId="6802FE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1086" w:type="pct"/>
            <w:vAlign w:val="center"/>
          </w:tcPr>
          <w:p w14:paraId="3D4E5C5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2FA10F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0B7C695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5CFF809">
        <w:trPr>
          <w:trHeight w:val="309" w:hRule="atLeast"/>
        </w:trPr>
        <w:tc>
          <w:tcPr>
            <w:tcW w:w="1788" w:type="pct"/>
            <w:vAlign w:val="center"/>
          </w:tcPr>
          <w:p w14:paraId="1E57064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总公司直属(含虚拟)</w:t>
            </w:r>
          </w:p>
        </w:tc>
        <w:tc>
          <w:tcPr>
            <w:tcW w:w="1086" w:type="pct"/>
            <w:vAlign w:val="center"/>
          </w:tcPr>
          <w:p w14:paraId="0407C1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58A0624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58BA2B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2055AE02">
        <w:trPr>
          <w:trHeight w:val="309" w:hRule="atLeast"/>
        </w:trPr>
        <w:tc>
          <w:tcPr>
            <w:tcW w:w="1788" w:type="pct"/>
            <w:vAlign w:val="center"/>
          </w:tcPr>
          <w:p w14:paraId="5BBBF7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北京</w:t>
            </w:r>
          </w:p>
        </w:tc>
        <w:tc>
          <w:tcPr>
            <w:tcW w:w="1086" w:type="pct"/>
            <w:vAlign w:val="center"/>
          </w:tcPr>
          <w:p w14:paraId="4DB46DA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39E2DD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7D0901C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6AD073A">
        <w:trPr>
          <w:trHeight w:val="309" w:hRule="atLeast"/>
        </w:trPr>
        <w:tc>
          <w:tcPr>
            <w:tcW w:w="1788" w:type="pct"/>
            <w:vAlign w:val="center"/>
          </w:tcPr>
          <w:p w14:paraId="090DEF9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天津</w:t>
            </w:r>
          </w:p>
        </w:tc>
        <w:tc>
          <w:tcPr>
            <w:tcW w:w="1086" w:type="pct"/>
            <w:vAlign w:val="center"/>
          </w:tcPr>
          <w:p w14:paraId="7CAD70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3735F6C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1806854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ADBCB6E">
        <w:trPr>
          <w:trHeight w:val="319" w:hRule="atLeast"/>
        </w:trPr>
        <w:tc>
          <w:tcPr>
            <w:tcW w:w="1788" w:type="pct"/>
            <w:vAlign w:val="center"/>
          </w:tcPr>
          <w:p w14:paraId="56D27C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086" w:type="pct"/>
            <w:vAlign w:val="center"/>
          </w:tcPr>
          <w:p w14:paraId="35E8392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0185F5E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112B34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E8E110B">
        <w:trPr>
          <w:trHeight w:val="299" w:hRule="atLeast"/>
        </w:trPr>
        <w:tc>
          <w:tcPr>
            <w:tcW w:w="1788" w:type="pct"/>
            <w:vAlign w:val="center"/>
          </w:tcPr>
          <w:p w14:paraId="2A8692B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青海</w:t>
            </w:r>
          </w:p>
        </w:tc>
        <w:tc>
          <w:tcPr>
            <w:tcW w:w="1086" w:type="pct"/>
            <w:vAlign w:val="center"/>
          </w:tcPr>
          <w:p w14:paraId="117CD5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0734408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67BB2E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76290655">
        <w:trPr>
          <w:trHeight w:val="319" w:hRule="atLeast"/>
        </w:trPr>
        <w:tc>
          <w:tcPr>
            <w:tcW w:w="1788" w:type="pct"/>
            <w:vAlign w:val="center"/>
          </w:tcPr>
          <w:p w14:paraId="5761779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宁夏</w:t>
            </w:r>
          </w:p>
        </w:tc>
        <w:tc>
          <w:tcPr>
            <w:tcW w:w="1086" w:type="pct"/>
            <w:vAlign w:val="center"/>
          </w:tcPr>
          <w:p w14:paraId="74D1008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5325AF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7585C3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0B87ABD">
        <w:trPr>
          <w:trHeight w:val="314" w:hRule="atLeast"/>
        </w:trPr>
        <w:tc>
          <w:tcPr>
            <w:tcW w:w="1788" w:type="pct"/>
            <w:vAlign w:val="center"/>
          </w:tcPr>
          <w:p w14:paraId="3CF2B74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新疆</w:t>
            </w:r>
          </w:p>
        </w:tc>
        <w:tc>
          <w:tcPr>
            <w:tcW w:w="1086" w:type="pct"/>
            <w:vAlign w:val="center"/>
          </w:tcPr>
          <w:p w14:paraId="687DC98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48" w:type="pct"/>
            <w:vAlign w:val="center"/>
          </w:tcPr>
          <w:p w14:paraId="60A8C08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177" w:type="pct"/>
            <w:vAlign w:val="center"/>
          </w:tcPr>
          <w:p w14:paraId="33CBDE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653260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7CCD86B4">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第四部分</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观测类指标</w:t>
      </w:r>
    </w:p>
    <w:p w14:paraId="71763E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指标7</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电话呼入服务满意率</w:t>
      </w:r>
    </w:p>
    <w:p w14:paraId="54F93E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计算公式：消费者评价满意笔数/(发起满意度调查后消费者有效评价笔数+未发起满意度调查的笔数)×100%</w:t>
      </w:r>
    </w:p>
    <w:p w14:paraId="72BE64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填报说明：</w:t>
      </w:r>
    </w:p>
    <w:p w14:paraId="440F94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1.报数口径：</w:t>
      </w:r>
    </w:p>
    <w:p w14:paraId="29A3B5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(1)以消费者来电时间为准，来电时间在统计期内的均属于报送范围。</w:t>
      </w:r>
    </w:p>
    <w:p w14:paraId="0140C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(2)只报送保险公司客服电话中心受理的电话，不含电销电话中心的电话。</w:t>
      </w:r>
    </w:p>
    <w:p w14:paraId="796A98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(3)满意度评价调查渠道限定为话后邀约方式。话后邀约是指消费者来电通话完成后，客服人员主动邀请消费者对其服务的满意度情况进行评价。</w:t>
      </w:r>
    </w:p>
    <w:p w14:paraId="6EE1B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2.计算规则：</w:t>
      </w:r>
    </w:p>
    <w:p w14:paraId="04FAAF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(1)发起满意度调查后消费者有效评价笔数是指统计期内消费者来电通话完成，保险公司发起满意度调查后，消费者对评价结果予以直接回应的笔数。消费者明确拒绝进行评价或未反馈评价结果的不计入。</w:t>
      </w:r>
    </w:p>
    <w:p w14:paraId="04D6B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(2)未发起满意度调查的笔数是指统计期内消费者来电通话完成后，保险公司未主动触发满意度调查的来电数量。</w:t>
      </w:r>
    </w:p>
    <w:p w14:paraId="69D50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(3)满意度调查评价选项设置“非常不满意”、“不满意”、“满意”和“非常满意”4档。消费者反馈其他评价结果的，视同未反馈评价结果处理。</w:t>
      </w:r>
    </w:p>
    <w:p w14:paraId="5D932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(4)消费者评价满意笔数是指统计期内发起满意度调查后消费者评价“满意”和“非常满意”的笔数。</w:t>
      </w:r>
    </w:p>
    <w:p w14:paraId="797303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(5)计算电话呼入服务满意率指标时，通话时长小于60秒的电话在计算该指标的分子分母数据中同时予以剔除。</w:t>
      </w:r>
    </w:p>
    <w:p w14:paraId="14AE26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3.特别说明：各监管辖区分支机构指标数据统一使用总公司数据代替。</w:t>
      </w:r>
      <w:bookmarkStart w:id="0" w:name="_GoBack"/>
      <w:bookmarkEnd w:id="0"/>
    </w:p>
    <w:p w14:paraId="13FA893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电话呼入服务满意率清单数据涉及的字段及说明</w:t>
      </w:r>
    </w:p>
    <w:p w14:paraId="17806343">
      <w:pPr>
        <w:spacing w:line="42" w:lineRule="exact"/>
      </w:pPr>
    </w:p>
    <w:tbl>
      <w:tblPr>
        <w:tblStyle w:val="5"/>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2540"/>
        <w:gridCol w:w="4182"/>
        <w:gridCol w:w="1592"/>
      </w:tblGrid>
      <w:tr w14:paraId="47883D5D">
        <w:trPr>
          <w:trHeight w:val="324" w:hRule="atLeast"/>
        </w:trPr>
        <w:tc>
          <w:tcPr>
            <w:tcW w:w="1527" w:type="pct"/>
            <w:vAlign w:val="center"/>
          </w:tcPr>
          <w:p w14:paraId="0870D8E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数据项</w:t>
            </w:r>
          </w:p>
        </w:tc>
        <w:tc>
          <w:tcPr>
            <w:tcW w:w="2514" w:type="pct"/>
            <w:vAlign w:val="center"/>
          </w:tcPr>
          <w:p w14:paraId="7F3754D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w:t>
            </w:r>
          </w:p>
        </w:tc>
        <w:tc>
          <w:tcPr>
            <w:tcW w:w="957" w:type="pct"/>
            <w:vAlign w:val="center"/>
          </w:tcPr>
          <w:p w14:paraId="030F03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是否必填</w:t>
            </w:r>
          </w:p>
        </w:tc>
      </w:tr>
      <w:tr w14:paraId="0BD7AD5D">
        <w:trPr>
          <w:trHeight w:val="319" w:hRule="atLeast"/>
        </w:trPr>
        <w:tc>
          <w:tcPr>
            <w:tcW w:w="1527" w:type="pct"/>
            <w:vAlign w:val="center"/>
          </w:tcPr>
          <w:p w14:paraId="526F6D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来电时间</w:t>
            </w:r>
          </w:p>
        </w:tc>
        <w:tc>
          <w:tcPr>
            <w:tcW w:w="2514" w:type="pct"/>
            <w:vAlign w:val="center"/>
          </w:tcPr>
          <w:p w14:paraId="3EAD9F9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消费者拨打公司客服电话时间</w:t>
            </w:r>
          </w:p>
        </w:tc>
        <w:tc>
          <w:tcPr>
            <w:tcW w:w="957" w:type="pct"/>
            <w:vMerge w:val="restart"/>
            <w:tcBorders>
              <w:bottom w:val="nil"/>
            </w:tcBorders>
            <w:vAlign w:val="center"/>
          </w:tcPr>
          <w:p w14:paraId="1290779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参照《2018年保险公司服务评价系统数据报送规范》</w:t>
            </w:r>
          </w:p>
        </w:tc>
      </w:tr>
      <w:tr w14:paraId="48312DF4">
        <w:trPr>
          <w:trHeight w:val="938" w:hRule="atLeast"/>
        </w:trPr>
        <w:tc>
          <w:tcPr>
            <w:tcW w:w="1527" w:type="pct"/>
            <w:vAlign w:val="center"/>
          </w:tcPr>
          <w:p w14:paraId="2C3C94C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来电号码</w:t>
            </w:r>
          </w:p>
        </w:tc>
        <w:tc>
          <w:tcPr>
            <w:tcW w:w="2514" w:type="pct"/>
            <w:vAlign w:val="center"/>
          </w:tcPr>
          <w:p w14:paraId="29CA780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固定电话包括电话区号，除区号外任选3位数字脱敏手机号码除长途冠码外，任选4位数字脱敏</w:t>
            </w:r>
          </w:p>
        </w:tc>
        <w:tc>
          <w:tcPr>
            <w:tcW w:w="957" w:type="pct"/>
            <w:vMerge w:val="continue"/>
            <w:tcBorders>
              <w:top w:val="nil"/>
              <w:bottom w:val="nil"/>
            </w:tcBorders>
            <w:vAlign w:val="center"/>
          </w:tcPr>
          <w:p w14:paraId="3AA8659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7244C94">
        <w:trPr>
          <w:trHeight w:val="309" w:hRule="atLeast"/>
        </w:trPr>
        <w:tc>
          <w:tcPr>
            <w:tcW w:w="1527" w:type="pct"/>
            <w:vAlign w:val="center"/>
          </w:tcPr>
          <w:p w14:paraId="6BBC329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来电是否接通</w:t>
            </w:r>
          </w:p>
        </w:tc>
        <w:tc>
          <w:tcPr>
            <w:tcW w:w="2514" w:type="pct"/>
            <w:vAlign w:val="center"/>
          </w:tcPr>
          <w:p w14:paraId="028DF17D">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957" w:type="pct"/>
            <w:vMerge w:val="continue"/>
            <w:tcBorders>
              <w:top w:val="nil"/>
              <w:bottom w:val="nil"/>
            </w:tcBorders>
            <w:vAlign w:val="center"/>
          </w:tcPr>
          <w:p w14:paraId="520F1CD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36721822">
        <w:trPr>
          <w:trHeight w:val="309" w:hRule="atLeast"/>
        </w:trPr>
        <w:tc>
          <w:tcPr>
            <w:tcW w:w="1527" w:type="pct"/>
            <w:vAlign w:val="center"/>
          </w:tcPr>
          <w:p w14:paraId="1EE56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人工接通时间</w:t>
            </w:r>
          </w:p>
        </w:tc>
        <w:tc>
          <w:tcPr>
            <w:tcW w:w="2514" w:type="pct"/>
            <w:vAlign w:val="center"/>
          </w:tcPr>
          <w:p w14:paraId="7296D4E9">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人工坐席接通电话时间</w:t>
            </w:r>
          </w:p>
        </w:tc>
        <w:tc>
          <w:tcPr>
            <w:tcW w:w="957" w:type="pct"/>
            <w:vMerge w:val="continue"/>
            <w:tcBorders>
              <w:top w:val="nil"/>
              <w:bottom w:val="nil"/>
            </w:tcBorders>
            <w:vAlign w:val="center"/>
          </w:tcPr>
          <w:p w14:paraId="1A0DE8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04EEA15">
        <w:trPr>
          <w:trHeight w:val="619" w:hRule="atLeast"/>
        </w:trPr>
        <w:tc>
          <w:tcPr>
            <w:tcW w:w="1527" w:type="pct"/>
            <w:vAlign w:val="center"/>
          </w:tcPr>
          <w:p w14:paraId="306BD93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保险公司是否发起消费者满意度调查</w:t>
            </w:r>
          </w:p>
        </w:tc>
        <w:tc>
          <w:tcPr>
            <w:tcW w:w="2514" w:type="pct"/>
            <w:vAlign w:val="center"/>
          </w:tcPr>
          <w:p w14:paraId="30A3CEA2">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957" w:type="pct"/>
            <w:vMerge w:val="continue"/>
            <w:tcBorders>
              <w:top w:val="nil"/>
              <w:bottom w:val="nil"/>
            </w:tcBorders>
            <w:vAlign w:val="center"/>
          </w:tcPr>
          <w:p w14:paraId="3A3EB6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6342BDEC">
        <w:trPr>
          <w:trHeight w:val="619" w:hRule="atLeast"/>
        </w:trPr>
        <w:tc>
          <w:tcPr>
            <w:tcW w:w="1527" w:type="pct"/>
            <w:vAlign w:val="center"/>
          </w:tcPr>
          <w:p w14:paraId="789A3B5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消费者是否对满意度调查结果予以实际反馈</w:t>
            </w:r>
          </w:p>
        </w:tc>
        <w:tc>
          <w:tcPr>
            <w:tcW w:w="2514" w:type="pct"/>
            <w:vAlign w:val="center"/>
          </w:tcPr>
          <w:p w14:paraId="35BD79C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w:t>
            </w:r>
          </w:p>
        </w:tc>
        <w:tc>
          <w:tcPr>
            <w:tcW w:w="957" w:type="pct"/>
            <w:vMerge w:val="continue"/>
            <w:tcBorders>
              <w:top w:val="nil"/>
              <w:bottom w:val="nil"/>
            </w:tcBorders>
            <w:vAlign w:val="center"/>
          </w:tcPr>
          <w:p w14:paraId="0104D08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318A694">
        <w:trPr>
          <w:trHeight w:val="629" w:hRule="atLeast"/>
        </w:trPr>
        <w:tc>
          <w:tcPr>
            <w:tcW w:w="1527" w:type="pct"/>
            <w:vAlign w:val="center"/>
          </w:tcPr>
          <w:p w14:paraId="761EE3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评价结果</w:t>
            </w:r>
          </w:p>
        </w:tc>
        <w:tc>
          <w:tcPr>
            <w:tcW w:w="2514" w:type="pct"/>
            <w:vAlign w:val="center"/>
          </w:tcPr>
          <w:p w14:paraId="0B44E046">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评价选项统一设置为非常满意、满意、不满意、非常不满意4档</w:t>
            </w:r>
          </w:p>
        </w:tc>
        <w:tc>
          <w:tcPr>
            <w:tcW w:w="957" w:type="pct"/>
            <w:vMerge w:val="continue"/>
            <w:tcBorders>
              <w:top w:val="nil"/>
              <w:bottom w:val="nil"/>
            </w:tcBorders>
            <w:vAlign w:val="center"/>
          </w:tcPr>
          <w:p w14:paraId="251F45F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10EABF7">
        <w:trPr>
          <w:trHeight w:val="300" w:hRule="atLeast"/>
        </w:trPr>
        <w:tc>
          <w:tcPr>
            <w:tcW w:w="1527" w:type="pct"/>
            <w:vAlign w:val="center"/>
          </w:tcPr>
          <w:p w14:paraId="50B66CC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评价结果反馈时间</w:t>
            </w:r>
          </w:p>
        </w:tc>
        <w:tc>
          <w:tcPr>
            <w:tcW w:w="2514" w:type="pct"/>
            <w:vAlign w:val="center"/>
          </w:tcPr>
          <w:p w14:paraId="1032B6D0">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消费者向保险公司反馈评价结果的时间</w:t>
            </w:r>
          </w:p>
        </w:tc>
        <w:tc>
          <w:tcPr>
            <w:tcW w:w="957" w:type="pct"/>
            <w:vMerge w:val="continue"/>
            <w:tcBorders>
              <w:top w:val="nil"/>
              <w:bottom w:val="nil"/>
            </w:tcBorders>
            <w:vAlign w:val="center"/>
          </w:tcPr>
          <w:p w14:paraId="4E122FF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03EA4111">
        <w:trPr>
          <w:trHeight w:val="319" w:hRule="atLeast"/>
        </w:trPr>
        <w:tc>
          <w:tcPr>
            <w:tcW w:w="1527" w:type="pct"/>
            <w:vAlign w:val="center"/>
          </w:tcPr>
          <w:p w14:paraId="545D301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挂机时间</w:t>
            </w:r>
          </w:p>
        </w:tc>
        <w:tc>
          <w:tcPr>
            <w:tcW w:w="2514" w:type="pct"/>
            <w:vAlign w:val="center"/>
          </w:tcPr>
          <w:p w14:paraId="70E7715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消费者挂机时间</w:t>
            </w:r>
          </w:p>
        </w:tc>
        <w:tc>
          <w:tcPr>
            <w:tcW w:w="957" w:type="pct"/>
            <w:vMerge w:val="continue"/>
            <w:tcBorders>
              <w:top w:val="nil"/>
              <w:bottom w:val="nil"/>
            </w:tcBorders>
            <w:vAlign w:val="center"/>
          </w:tcPr>
          <w:p w14:paraId="410719A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5758C1B4">
        <w:trPr>
          <w:trHeight w:val="300" w:hRule="atLeast"/>
        </w:trPr>
        <w:tc>
          <w:tcPr>
            <w:tcW w:w="1527" w:type="pct"/>
            <w:vAlign w:val="center"/>
          </w:tcPr>
          <w:p w14:paraId="0C2C61F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保险机构代码</w:t>
            </w:r>
          </w:p>
        </w:tc>
        <w:tc>
          <w:tcPr>
            <w:tcW w:w="2514" w:type="pct"/>
            <w:vAlign w:val="center"/>
          </w:tcPr>
          <w:p w14:paraId="2FC5DDB7">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根据共性代码对照表填写</w:t>
            </w:r>
          </w:p>
        </w:tc>
        <w:tc>
          <w:tcPr>
            <w:tcW w:w="957" w:type="pct"/>
            <w:vMerge w:val="continue"/>
            <w:tcBorders>
              <w:top w:val="nil"/>
              <w:bottom w:val="nil"/>
            </w:tcBorders>
            <w:vAlign w:val="center"/>
          </w:tcPr>
          <w:p w14:paraId="7AB286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r w14:paraId="160185C0">
        <w:trPr>
          <w:trHeight w:val="324" w:hRule="atLeast"/>
        </w:trPr>
        <w:tc>
          <w:tcPr>
            <w:tcW w:w="1527" w:type="pct"/>
            <w:vAlign w:val="center"/>
          </w:tcPr>
          <w:p w14:paraId="45D0B29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监管辖区代码</w:t>
            </w:r>
          </w:p>
        </w:tc>
        <w:tc>
          <w:tcPr>
            <w:tcW w:w="2514" w:type="pct"/>
            <w:vAlign w:val="center"/>
          </w:tcPr>
          <w:p w14:paraId="65EE651C">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统一填写为000000</w:t>
            </w:r>
          </w:p>
        </w:tc>
        <w:tc>
          <w:tcPr>
            <w:tcW w:w="957" w:type="pct"/>
            <w:vMerge w:val="continue"/>
            <w:tcBorders>
              <w:top w:val="nil"/>
            </w:tcBorders>
            <w:vAlign w:val="center"/>
          </w:tcPr>
          <w:p w14:paraId="3E5ED19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56332DE8">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表7:电话呼入服务满意率统计汇总表</w:t>
      </w:r>
    </w:p>
    <w:tbl>
      <w:tblPr>
        <w:tblStyle w:val="5"/>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69"/>
        <w:gridCol w:w="1685"/>
        <w:gridCol w:w="1657"/>
        <w:gridCol w:w="1630"/>
        <w:gridCol w:w="1672"/>
      </w:tblGrid>
      <w:tr w14:paraId="30D1A6E2">
        <w:trPr>
          <w:trHeight w:val="927" w:hRule="atLeast"/>
        </w:trPr>
        <w:tc>
          <w:tcPr>
            <w:tcW w:w="1004" w:type="pct"/>
            <w:vAlign w:val="center"/>
          </w:tcPr>
          <w:p w14:paraId="1736D02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地区</w:t>
            </w:r>
          </w:p>
        </w:tc>
        <w:tc>
          <w:tcPr>
            <w:tcW w:w="1013" w:type="pct"/>
            <w:vAlign w:val="center"/>
          </w:tcPr>
          <w:p w14:paraId="5B20BE4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消费者评价满意笔数</w:t>
            </w:r>
          </w:p>
        </w:tc>
        <w:tc>
          <w:tcPr>
            <w:tcW w:w="996" w:type="pct"/>
            <w:vAlign w:val="center"/>
          </w:tcPr>
          <w:p w14:paraId="4743A4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发起满意度调查后消费者有效评价笔数</w:t>
            </w:r>
          </w:p>
        </w:tc>
        <w:tc>
          <w:tcPr>
            <w:tcW w:w="980" w:type="pct"/>
            <w:vAlign w:val="center"/>
          </w:tcPr>
          <w:p w14:paraId="2954A78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未发起满意度调查的笔数</w:t>
            </w:r>
          </w:p>
        </w:tc>
        <w:tc>
          <w:tcPr>
            <w:tcW w:w="1005" w:type="pct"/>
            <w:vAlign w:val="center"/>
          </w:tcPr>
          <w:p w14:paraId="0910341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电话呼入服务满意率</w:t>
            </w:r>
          </w:p>
        </w:tc>
      </w:tr>
      <w:tr w14:paraId="0F03F985">
        <w:trPr>
          <w:trHeight w:val="312" w:hRule="atLeast"/>
        </w:trPr>
        <w:tc>
          <w:tcPr>
            <w:tcW w:w="1004" w:type="pct"/>
            <w:vAlign w:val="center"/>
          </w:tcPr>
          <w:p w14:paraId="4ABA409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全国合计</w:t>
            </w:r>
          </w:p>
        </w:tc>
        <w:tc>
          <w:tcPr>
            <w:tcW w:w="1013" w:type="pct"/>
            <w:vAlign w:val="center"/>
          </w:tcPr>
          <w:p w14:paraId="0822C36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96" w:type="pct"/>
            <w:vAlign w:val="center"/>
          </w:tcPr>
          <w:p w14:paraId="559F3D4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980" w:type="pct"/>
            <w:vAlign w:val="center"/>
          </w:tcPr>
          <w:p w14:paraId="6D2FA6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c>
          <w:tcPr>
            <w:tcW w:w="1005" w:type="pct"/>
            <w:vAlign w:val="center"/>
          </w:tcPr>
          <w:p w14:paraId="7CB3827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4"/>
                <w:szCs w:val="24"/>
              </w:rPr>
            </w:pPr>
          </w:p>
        </w:tc>
      </w:tr>
    </w:tbl>
    <w:p w14:paraId="102E4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仿宋_GB2312">
    <w:panose1 w:val="02010609030101010101"/>
    <w:charset w:val="86"/>
    <w:family w:val="auto"/>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06317">
    <w:pPr>
      <w:spacing w:line="194" w:lineRule="exact"/>
      <w:ind w:left="4680"/>
      <w:rPr>
        <w:rFonts w:ascii="Arial" w:hAnsi="Arial" w:eastAsia="Arial" w:cs="Arial"/>
        <w:sz w:val="15"/>
        <w:szCs w:val="15"/>
      </w:rPr>
    </w:pPr>
    <w:r>
      <w:rPr>
        <w:rFonts w:ascii="Arial" w:hAnsi="Arial" w:eastAsia="Arial" w:cs="Arial"/>
        <w:spacing w:val="-2"/>
        <w:position w:val="1"/>
        <w:sz w:val="15"/>
        <w:szCs w:val="15"/>
      </w:rPr>
      <w:t>23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FE1E48"/>
    <w:rsid w:val="5FB91A46"/>
    <w:rsid w:val="73D72067"/>
    <w:rsid w:val="758FB218"/>
    <w:rsid w:val="7EF6BA8F"/>
    <w:rsid w:val="7EFD7B88"/>
    <w:rsid w:val="7F70F427"/>
    <w:rsid w:val="DA737F50"/>
    <w:rsid w:val="DFFDB415"/>
    <w:rsid w:val="FE766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33"/>
      <w:szCs w:val="33"/>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2026-06-22T18:10:00Z</dcterms:created>
  <dc:creator>Data</dc:creator>
  <cp:lastModifiedBy>彭云龙</cp:lastModifiedBy>
  <dcterms:modified xsi:type="dcterms:W3CDTF">2026-06-22T10:43:49Z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BD9E372FDE45641C819A386A79A6F771_42</vt:lpwstr>
  </property>
</Properties>
</file>