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125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附件6</w:t>
      </w:r>
    </w:p>
    <w:p w14:paraId="2EDFCF2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2018年人身保险公司服务评价定量指标统计指引</w:t>
      </w:r>
    </w:p>
    <w:p w14:paraId="3A5C946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总体填报说明：</w:t>
      </w:r>
    </w:p>
    <w:p w14:paraId="3E41FA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1.统计期开始时间为2017年1月1日00:00:00,结束时间为2017年12月31日23:59:59。</w:t>
      </w:r>
    </w:p>
    <w:p w14:paraId="712684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各统计表中的“地区”按原保监会派出机构监管辖区进行划分。统计期内，保险公司在原保监会派出机构监管辖区内设有分支机构的，必须报送相应的定量指标数据。保险公司分支机构设立时间以保监会及其派出机构批复的成立日期为准。</w:t>
      </w:r>
    </w:p>
    <w:p w14:paraId="498D22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3.百分比以小数计，精确到小数点后四位，按照四舍五入法计算。如99.11%应计成0.9911。</w:t>
      </w:r>
    </w:p>
    <w:p w14:paraId="1F4B86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4.以天数为单位的指标结果，以小数计，精确到小数点后四位，按照四舍五入法计算。</w:t>
      </w:r>
    </w:p>
    <w:p w14:paraId="5C5B54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5.对于金额类数据，统一以元为单位报送，精确到小数点后两位。</w:t>
      </w:r>
    </w:p>
    <w:p w14:paraId="52C7E2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6.对于日期类数据，统一按年月日格式报送，如：2016-01-01。</w:t>
      </w:r>
    </w:p>
    <w:p w14:paraId="3BA48F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7.对于时间类数据，如公司能精确到时分秒的，按年月日时分秒格式报送，如：2016-01-0100:00:01,如不能精确到到时分秒的，仍按年月日格式报送。</w:t>
      </w:r>
    </w:p>
    <w:p w14:paraId="2FE46A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本次服务评价中，时效类指标的计算方式仍为T+1天，T=终期一起期。其中，保全时效指标中的申请时间和结案时间、理赔服务时效类指标中的申请时间和支付时间在参与计算时按日期向下取整处理，如：2016-01-0123:59:59,按2016-01-01处理。</w:t>
      </w:r>
    </w:p>
    <w:p w14:paraId="38CC4C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9.对于除电话呼入人工接通率、客服代表服务满意率指标以外无法拆分至保险公司分支机构对应的监管辖区或者直接归属于保险公司总公司的定量指标业务数据，统一纳入“总公司直属</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含虚拟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”项下进行报送。</w:t>
      </w:r>
    </w:p>
    <w:p w14:paraId="0369C495">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第一部分</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电话类指标</w:t>
      </w:r>
    </w:p>
    <w:p w14:paraId="29C7CE3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指标1:电话呼入人工接通率</w:t>
      </w:r>
    </w:p>
    <w:p w14:paraId="57B08F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计算公式：电话呼入人工接通率=消费者来电选择人工服务键后专线人员接通的电话数/消费者请求人工服务电话数×100%</w:t>
      </w:r>
    </w:p>
    <w:p w14:paraId="0C2D7B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填报说明：</w:t>
      </w:r>
    </w:p>
    <w:p w14:paraId="0DB779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1.报数口径：</w:t>
      </w:r>
    </w:p>
    <w:p w14:paraId="29E768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以消费者来电时间为准，来电时间在统计期内的均属于报送范围。</w:t>
      </w:r>
    </w:p>
    <w:p w14:paraId="1055C8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只报送保险公司客服电话中心受理的电话，不含电销电话中心的电话。</w:t>
      </w:r>
    </w:p>
    <w:p w14:paraId="78EE4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2.计算规则：</w:t>
      </w:r>
    </w:p>
    <w:p w14:paraId="6AC7F0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消费者请求人工服务电话数是指统计期内请求人工服务的电话笔数。</w:t>
      </w:r>
    </w:p>
    <w:p w14:paraId="33E90B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消费者来电选择人工服务键后专线人员接通的电话数是指统计期内请求人工服务并被人工应答的电话笔数。</w:t>
      </w:r>
    </w:p>
    <w:p w14:paraId="4EAEBF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3.特别说明：各监管辖区分支机构指标数据统一使用总公司数据代替。</w:t>
      </w:r>
    </w:p>
    <w:p w14:paraId="080F6DD1">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通话清单数据涉及的字段及说明</w:t>
      </w:r>
    </w:p>
    <w:p w14:paraId="269665CF">
      <w:pPr>
        <w:spacing w:line="46" w:lineRule="exact"/>
        <w:rPr>
          <w:color w:val="auto"/>
        </w:rPr>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885"/>
        <w:gridCol w:w="5766"/>
        <w:gridCol w:w="1852"/>
      </w:tblGrid>
      <w:tr w14:paraId="202D4EFD">
        <w:trPr>
          <w:trHeight w:val="304" w:hRule="atLeast"/>
        </w:trPr>
        <w:tc>
          <w:tcPr>
            <w:tcW w:w="992" w:type="pct"/>
            <w:vAlign w:val="center"/>
          </w:tcPr>
          <w:p w14:paraId="6169C5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数据项</w:t>
            </w:r>
          </w:p>
        </w:tc>
        <w:tc>
          <w:tcPr>
            <w:tcW w:w="3033" w:type="pct"/>
            <w:vAlign w:val="center"/>
          </w:tcPr>
          <w:p w14:paraId="469A1F2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w:t>
            </w:r>
          </w:p>
        </w:tc>
        <w:tc>
          <w:tcPr>
            <w:tcW w:w="974" w:type="pct"/>
            <w:vAlign w:val="center"/>
          </w:tcPr>
          <w:p w14:paraId="7F2598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是否必填</w:t>
            </w:r>
          </w:p>
        </w:tc>
      </w:tr>
      <w:tr w14:paraId="2E9CE26A">
        <w:trPr>
          <w:trHeight w:val="309" w:hRule="atLeast"/>
        </w:trPr>
        <w:tc>
          <w:tcPr>
            <w:tcW w:w="992" w:type="pct"/>
            <w:vAlign w:val="center"/>
          </w:tcPr>
          <w:p w14:paraId="00B629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来电时间</w:t>
            </w:r>
          </w:p>
        </w:tc>
        <w:tc>
          <w:tcPr>
            <w:tcW w:w="3033" w:type="pct"/>
            <w:vAlign w:val="center"/>
          </w:tcPr>
          <w:p w14:paraId="0F79A16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消费者拨打公司客服电话时间</w:t>
            </w:r>
          </w:p>
        </w:tc>
        <w:tc>
          <w:tcPr>
            <w:tcW w:w="974" w:type="pct"/>
            <w:vMerge w:val="restart"/>
            <w:tcBorders>
              <w:bottom w:val="nil"/>
            </w:tcBorders>
            <w:vAlign w:val="center"/>
          </w:tcPr>
          <w:p w14:paraId="1E46BA8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参照《2018年保险公司服务评价系统数据报送规范》</w:t>
            </w:r>
          </w:p>
        </w:tc>
      </w:tr>
      <w:tr w14:paraId="60AEAE31">
        <w:trPr>
          <w:trHeight w:val="617" w:hRule="atLeast"/>
        </w:trPr>
        <w:tc>
          <w:tcPr>
            <w:tcW w:w="992" w:type="pct"/>
            <w:vAlign w:val="center"/>
          </w:tcPr>
          <w:p w14:paraId="1D1659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来电号码</w:t>
            </w:r>
          </w:p>
        </w:tc>
        <w:tc>
          <w:tcPr>
            <w:tcW w:w="3033" w:type="pct"/>
            <w:vAlign w:val="center"/>
          </w:tcPr>
          <w:p w14:paraId="5D6939F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固定电话包括电话区号，除区号外任选3位数字脱敏手机号码除长途冠码外，任选4位数字脱敏</w:t>
            </w:r>
          </w:p>
        </w:tc>
        <w:tc>
          <w:tcPr>
            <w:tcW w:w="974" w:type="pct"/>
            <w:vMerge w:val="continue"/>
            <w:tcBorders>
              <w:top w:val="nil"/>
              <w:bottom w:val="nil"/>
            </w:tcBorders>
            <w:vAlign w:val="center"/>
          </w:tcPr>
          <w:p w14:paraId="4DAAADC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F940A6F">
        <w:trPr>
          <w:trHeight w:val="309" w:hRule="atLeast"/>
        </w:trPr>
        <w:tc>
          <w:tcPr>
            <w:tcW w:w="992" w:type="pct"/>
            <w:vAlign w:val="center"/>
          </w:tcPr>
          <w:p w14:paraId="3752EE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来电是否接通</w:t>
            </w:r>
          </w:p>
        </w:tc>
        <w:tc>
          <w:tcPr>
            <w:tcW w:w="3033" w:type="pct"/>
            <w:vAlign w:val="center"/>
          </w:tcPr>
          <w:p w14:paraId="20C47F1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74" w:type="pct"/>
            <w:vMerge w:val="continue"/>
            <w:tcBorders>
              <w:top w:val="nil"/>
              <w:bottom w:val="nil"/>
            </w:tcBorders>
            <w:vAlign w:val="center"/>
          </w:tcPr>
          <w:p w14:paraId="4B3989B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BD00388">
        <w:trPr>
          <w:trHeight w:val="309" w:hRule="atLeast"/>
        </w:trPr>
        <w:tc>
          <w:tcPr>
            <w:tcW w:w="992" w:type="pct"/>
            <w:vAlign w:val="center"/>
          </w:tcPr>
          <w:p w14:paraId="5A12C80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人工接通时间</w:t>
            </w:r>
          </w:p>
        </w:tc>
        <w:tc>
          <w:tcPr>
            <w:tcW w:w="3033" w:type="pct"/>
            <w:vAlign w:val="center"/>
          </w:tcPr>
          <w:p w14:paraId="052CAF6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人工坐席接通电话时间</w:t>
            </w:r>
          </w:p>
        </w:tc>
        <w:tc>
          <w:tcPr>
            <w:tcW w:w="974" w:type="pct"/>
            <w:vMerge w:val="continue"/>
            <w:tcBorders>
              <w:top w:val="nil"/>
              <w:bottom w:val="nil"/>
            </w:tcBorders>
            <w:vAlign w:val="center"/>
          </w:tcPr>
          <w:p w14:paraId="7ECD248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FD4592B">
        <w:trPr>
          <w:trHeight w:val="309" w:hRule="atLeast"/>
        </w:trPr>
        <w:tc>
          <w:tcPr>
            <w:tcW w:w="992" w:type="pct"/>
            <w:vAlign w:val="center"/>
          </w:tcPr>
          <w:p w14:paraId="04E060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挂机时间</w:t>
            </w:r>
          </w:p>
        </w:tc>
        <w:tc>
          <w:tcPr>
            <w:tcW w:w="3033" w:type="pct"/>
            <w:vAlign w:val="center"/>
          </w:tcPr>
          <w:p w14:paraId="773AA1EE">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消费者挂机时间</w:t>
            </w:r>
          </w:p>
        </w:tc>
        <w:tc>
          <w:tcPr>
            <w:tcW w:w="974" w:type="pct"/>
            <w:vMerge w:val="continue"/>
            <w:tcBorders>
              <w:top w:val="nil"/>
              <w:bottom w:val="nil"/>
            </w:tcBorders>
            <w:vAlign w:val="center"/>
          </w:tcPr>
          <w:p w14:paraId="637271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3C02D18">
        <w:trPr>
          <w:trHeight w:val="299" w:hRule="atLeast"/>
        </w:trPr>
        <w:tc>
          <w:tcPr>
            <w:tcW w:w="992" w:type="pct"/>
            <w:vAlign w:val="center"/>
          </w:tcPr>
          <w:p w14:paraId="17C5522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保险机构代码</w:t>
            </w:r>
          </w:p>
        </w:tc>
        <w:tc>
          <w:tcPr>
            <w:tcW w:w="3033" w:type="pct"/>
            <w:vAlign w:val="center"/>
          </w:tcPr>
          <w:p w14:paraId="2EDE20A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根据共性代码对照表填写</w:t>
            </w:r>
          </w:p>
        </w:tc>
        <w:tc>
          <w:tcPr>
            <w:tcW w:w="974" w:type="pct"/>
            <w:vMerge w:val="continue"/>
            <w:tcBorders>
              <w:top w:val="nil"/>
              <w:bottom w:val="nil"/>
            </w:tcBorders>
            <w:vAlign w:val="center"/>
          </w:tcPr>
          <w:p w14:paraId="7849E18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59D81B2">
        <w:trPr>
          <w:trHeight w:val="314" w:hRule="atLeast"/>
        </w:trPr>
        <w:tc>
          <w:tcPr>
            <w:tcW w:w="992" w:type="pct"/>
            <w:vAlign w:val="center"/>
          </w:tcPr>
          <w:p w14:paraId="73AAE6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监管辖区代码</w:t>
            </w:r>
          </w:p>
        </w:tc>
        <w:tc>
          <w:tcPr>
            <w:tcW w:w="3033" w:type="pct"/>
            <w:vAlign w:val="center"/>
          </w:tcPr>
          <w:p w14:paraId="71189F34">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统一填写为000000</w:t>
            </w:r>
          </w:p>
        </w:tc>
        <w:tc>
          <w:tcPr>
            <w:tcW w:w="974" w:type="pct"/>
            <w:vMerge w:val="continue"/>
            <w:tcBorders>
              <w:top w:val="nil"/>
            </w:tcBorders>
            <w:vAlign w:val="center"/>
          </w:tcPr>
          <w:p w14:paraId="29187D1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108F2740">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表1:电话呼入人工接通率统计汇总表</w:t>
      </w:r>
    </w:p>
    <w:p w14:paraId="128B34DC">
      <w:pPr>
        <w:spacing w:line="145" w:lineRule="exact"/>
        <w:rPr>
          <w:color w:val="auto"/>
        </w:rPr>
      </w:pPr>
    </w:p>
    <w:tbl>
      <w:tblPr>
        <w:tblStyle w:val="5"/>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43"/>
        <w:gridCol w:w="3322"/>
        <w:gridCol w:w="2372"/>
        <w:gridCol w:w="2378"/>
      </w:tblGrid>
      <w:tr w14:paraId="14934DA6">
        <w:trPr>
          <w:trHeight w:val="1257" w:hRule="atLeast"/>
        </w:trPr>
        <w:tc>
          <w:tcPr>
            <w:tcW w:w="758" w:type="pct"/>
            <w:vAlign w:val="center"/>
          </w:tcPr>
          <w:p w14:paraId="5436260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1745" w:type="pct"/>
            <w:vAlign w:val="center"/>
          </w:tcPr>
          <w:p w14:paraId="1F313A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消费者来电选择人工服务键后专线人员接通的电话数(笔)</w:t>
            </w:r>
          </w:p>
        </w:tc>
        <w:tc>
          <w:tcPr>
            <w:tcW w:w="1246" w:type="pct"/>
            <w:vAlign w:val="center"/>
          </w:tcPr>
          <w:p w14:paraId="34E6560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消费者请求人工服务电话数(笔)</w:t>
            </w:r>
          </w:p>
        </w:tc>
        <w:tc>
          <w:tcPr>
            <w:tcW w:w="1249" w:type="pct"/>
            <w:vAlign w:val="center"/>
          </w:tcPr>
          <w:p w14:paraId="4B13F2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电话呼入人工接通率</w:t>
            </w:r>
          </w:p>
        </w:tc>
      </w:tr>
      <w:tr w14:paraId="21BF73AC">
        <w:trPr>
          <w:trHeight w:val="312" w:hRule="atLeast"/>
        </w:trPr>
        <w:tc>
          <w:tcPr>
            <w:tcW w:w="758" w:type="pct"/>
            <w:vAlign w:val="center"/>
          </w:tcPr>
          <w:p w14:paraId="703185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1745" w:type="pct"/>
            <w:vAlign w:val="center"/>
          </w:tcPr>
          <w:p w14:paraId="69AFC2C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6" w:type="pct"/>
            <w:vAlign w:val="center"/>
          </w:tcPr>
          <w:p w14:paraId="3FECD7D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9" w:type="pct"/>
            <w:vAlign w:val="center"/>
          </w:tcPr>
          <w:p w14:paraId="0EEDD9B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57C69C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p w14:paraId="2F8AA833">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第二部分</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保单类指标</w:t>
      </w:r>
    </w:p>
    <w:p w14:paraId="4945097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指标2:保单件数继续率</w:t>
      </w:r>
    </w:p>
    <w:p w14:paraId="365ADC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计算公式：保单件数继续率=上一个统计期内生效的期交保单在首个保单年度末宽限期截止日前交费的保单件数/上一个统计期内生效的期交保单件数×100%</w:t>
      </w:r>
    </w:p>
    <w:p w14:paraId="6ED6F6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填报说明：</w:t>
      </w:r>
    </w:p>
    <w:p w14:paraId="7D9EA7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1.报数口径：</w:t>
      </w:r>
    </w:p>
    <w:p w14:paraId="54AD2F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以保单生效日期为准，保单生效日期在上一个统计期内的均属于报送范围。</w:t>
      </w:r>
    </w:p>
    <w:p w14:paraId="7FA320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只报送投保人为个人的寿险、意外险和健康险等险种，城乡居民大病保险等政策性保险和团体保险不列入报送范围。</w:t>
      </w:r>
    </w:p>
    <w:p w14:paraId="416D0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只报送保险期限在一年以上的业务。</w:t>
      </w:r>
    </w:p>
    <w:p w14:paraId="02A170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保费免缴或豁免、犹豫期撤单、保单注销、理赔终止、转换终止、效力终止的保单不列入报送范围。</w:t>
      </w:r>
    </w:p>
    <w:p w14:paraId="1CA53F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2.计算规则：</w:t>
      </w:r>
    </w:p>
    <w:p w14:paraId="495AE4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期交保单是指投保人为个人，交费方式为期交，且保险期间在一年以上的人身保险业务。对于采取非年交方式的期交保单，计算其在首个保单年度末第一个交费宽限期截止日前交费的保单件数继续率。</w:t>
      </w:r>
    </w:p>
    <w:p w14:paraId="2C2631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3.特别说明：</w:t>
      </w:r>
    </w:p>
    <w:p w14:paraId="273524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分红险、投连险和万能险保单列入统计范围，不做剔除。</w:t>
      </w:r>
    </w:p>
    <w:p w14:paraId="75CD29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宽限期以保险合同约定的为准。</w:t>
      </w:r>
    </w:p>
    <w:p w14:paraId="3BFF6704">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保单件数继续率清单数据涉及的字段及说明</w:t>
      </w:r>
    </w:p>
    <w:p w14:paraId="68294F19">
      <w:pPr>
        <w:spacing w:line="135" w:lineRule="auto"/>
        <w:rPr>
          <w:rFonts w:ascii="Arial"/>
          <w:color w:val="auto"/>
          <w:sz w:val="2"/>
        </w:rPr>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439"/>
        <w:gridCol w:w="5352"/>
        <w:gridCol w:w="1714"/>
      </w:tblGrid>
      <w:tr w14:paraId="350AE531">
        <w:trPr>
          <w:trHeight w:val="324" w:hRule="atLeast"/>
        </w:trPr>
        <w:tc>
          <w:tcPr>
            <w:tcW w:w="1283" w:type="pct"/>
            <w:vAlign w:val="center"/>
          </w:tcPr>
          <w:p w14:paraId="2E9638F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数据项</w:t>
            </w:r>
          </w:p>
        </w:tc>
        <w:tc>
          <w:tcPr>
            <w:tcW w:w="2814" w:type="pct"/>
            <w:vAlign w:val="center"/>
          </w:tcPr>
          <w:p w14:paraId="0E806E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w:t>
            </w:r>
          </w:p>
        </w:tc>
        <w:tc>
          <w:tcPr>
            <w:tcW w:w="901" w:type="pct"/>
            <w:vAlign w:val="center"/>
          </w:tcPr>
          <w:p w14:paraId="1DE6FE2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是否必填</w:t>
            </w:r>
          </w:p>
        </w:tc>
      </w:tr>
      <w:tr w14:paraId="1640150B">
        <w:trPr>
          <w:trHeight w:val="330" w:hRule="atLeast"/>
        </w:trPr>
        <w:tc>
          <w:tcPr>
            <w:tcW w:w="1283" w:type="pct"/>
            <w:vAlign w:val="center"/>
          </w:tcPr>
          <w:p w14:paraId="04ED38C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保单号</w:t>
            </w:r>
          </w:p>
        </w:tc>
        <w:tc>
          <w:tcPr>
            <w:tcW w:w="2814" w:type="pct"/>
            <w:vAlign w:val="center"/>
          </w:tcPr>
          <w:p w14:paraId="34A9B18B">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保险公司出具的保险合同编号</w:t>
            </w:r>
          </w:p>
        </w:tc>
        <w:tc>
          <w:tcPr>
            <w:tcW w:w="901" w:type="pct"/>
            <w:vMerge w:val="restart"/>
            <w:tcBorders>
              <w:bottom w:val="nil"/>
            </w:tcBorders>
            <w:vAlign w:val="center"/>
          </w:tcPr>
          <w:p w14:paraId="0D0FB9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参照《2018年保险公司服务评价系统数据报送规范》</w:t>
            </w:r>
          </w:p>
        </w:tc>
      </w:tr>
      <w:tr w14:paraId="1A376C5D">
        <w:trPr>
          <w:trHeight w:val="329" w:hRule="atLeast"/>
        </w:trPr>
        <w:tc>
          <w:tcPr>
            <w:tcW w:w="1283" w:type="pct"/>
            <w:vAlign w:val="center"/>
          </w:tcPr>
          <w:p w14:paraId="0FD4A11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生效日期</w:t>
            </w:r>
          </w:p>
        </w:tc>
        <w:tc>
          <w:tcPr>
            <w:tcW w:w="2814" w:type="pct"/>
            <w:vAlign w:val="center"/>
          </w:tcPr>
          <w:p w14:paraId="2AD9E534">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保单生效的日期</w:t>
            </w:r>
          </w:p>
        </w:tc>
        <w:tc>
          <w:tcPr>
            <w:tcW w:w="901" w:type="pct"/>
            <w:vMerge w:val="continue"/>
            <w:tcBorders>
              <w:top w:val="nil"/>
              <w:bottom w:val="nil"/>
            </w:tcBorders>
            <w:vAlign w:val="center"/>
          </w:tcPr>
          <w:p w14:paraId="322767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2BB752F">
        <w:trPr>
          <w:trHeight w:val="958" w:hRule="atLeast"/>
        </w:trPr>
        <w:tc>
          <w:tcPr>
            <w:tcW w:w="1283" w:type="pct"/>
            <w:vAlign w:val="center"/>
          </w:tcPr>
          <w:p w14:paraId="505931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上一个统计期内生效保单的首年期交实收保费收入</w:t>
            </w:r>
          </w:p>
        </w:tc>
        <w:tc>
          <w:tcPr>
            <w:tcW w:w="2814" w:type="pct"/>
            <w:vAlign w:val="center"/>
          </w:tcPr>
          <w:p w14:paraId="12006B19">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上一个统计期内生效保单的首年期交实收保费收入(元)</w:t>
            </w:r>
          </w:p>
        </w:tc>
        <w:tc>
          <w:tcPr>
            <w:tcW w:w="901" w:type="pct"/>
            <w:vMerge w:val="continue"/>
            <w:tcBorders>
              <w:top w:val="nil"/>
              <w:bottom w:val="nil"/>
            </w:tcBorders>
            <w:vAlign w:val="center"/>
          </w:tcPr>
          <w:p w14:paraId="3BABFB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7E97880">
        <w:trPr>
          <w:trHeight w:val="1288" w:hRule="atLeast"/>
        </w:trPr>
        <w:tc>
          <w:tcPr>
            <w:tcW w:w="1283" w:type="pct"/>
            <w:vAlign w:val="center"/>
          </w:tcPr>
          <w:p w14:paraId="08C05B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上一个统计期内生效的期交保单在首个保单年度末宽限期截止日前的实收保费收入</w:t>
            </w:r>
          </w:p>
        </w:tc>
        <w:tc>
          <w:tcPr>
            <w:tcW w:w="2814" w:type="pct"/>
            <w:vAlign w:val="center"/>
          </w:tcPr>
          <w:p w14:paraId="3C05F05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上一个统计期内生效的期交保单在首个保单年度末宽限期截止日前的实收保费收入(元)</w:t>
            </w:r>
          </w:p>
        </w:tc>
        <w:tc>
          <w:tcPr>
            <w:tcW w:w="901" w:type="pct"/>
            <w:vMerge w:val="continue"/>
            <w:tcBorders>
              <w:top w:val="nil"/>
              <w:bottom w:val="nil"/>
            </w:tcBorders>
            <w:vAlign w:val="center"/>
          </w:tcPr>
          <w:p w14:paraId="2D94108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FD564E8">
        <w:trPr>
          <w:trHeight w:val="978" w:hRule="atLeast"/>
        </w:trPr>
        <w:tc>
          <w:tcPr>
            <w:tcW w:w="1283" w:type="pct"/>
            <w:vAlign w:val="center"/>
          </w:tcPr>
          <w:p w14:paraId="254BADF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消费者是否在首个保单年度末宽限期截止日前完成交费</w:t>
            </w:r>
          </w:p>
        </w:tc>
        <w:tc>
          <w:tcPr>
            <w:tcW w:w="2814" w:type="pct"/>
            <w:vAlign w:val="center"/>
          </w:tcPr>
          <w:p w14:paraId="6D2CE0A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01" w:type="pct"/>
            <w:vMerge w:val="continue"/>
            <w:tcBorders>
              <w:top w:val="nil"/>
              <w:bottom w:val="nil"/>
            </w:tcBorders>
            <w:vAlign w:val="center"/>
          </w:tcPr>
          <w:p w14:paraId="2DED062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C7C64E0">
        <w:trPr>
          <w:trHeight w:val="319" w:hRule="atLeast"/>
        </w:trPr>
        <w:tc>
          <w:tcPr>
            <w:tcW w:w="1283" w:type="pct"/>
            <w:vAlign w:val="center"/>
          </w:tcPr>
          <w:p w14:paraId="7818695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期交方式</w:t>
            </w:r>
          </w:p>
        </w:tc>
        <w:tc>
          <w:tcPr>
            <w:tcW w:w="2814" w:type="pct"/>
            <w:vAlign w:val="center"/>
          </w:tcPr>
          <w:p w14:paraId="377E0DF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月交/季交/半年交/年交/其他</w:t>
            </w:r>
          </w:p>
        </w:tc>
        <w:tc>
          <w:tcPr>
            <w:tcW w:w="901" w:type="pct"/>
            <w:vMerge w:val="continue"/>
            <w:tcBorders>
              <w:top w:val="nil"/>
              <w:bottom w:val="nil"/>
            </w:tcBorders>
            <w:vAlign w:val="center"/>
          </w:tcPr>
          <w:p w14:paraId="10DE17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EC61F74">
        <w:trPr>
          <w:trHeight w:val="319" w:hRule="atLeast"/>
        </w:trPr>
        <w:tc>
          <w:tcPr>
            <w:tcW w:w="1283" w:type="pct"/>
            <w:vAlign w:val="center"/>
          </w:tcPr>
          <w:p w14:paraId="4456336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保险机构代码</w:t>
            </w:r>
          </w:p>
        </w:tc>
        <w:tc>
          <w:tcPr>
            <w:tcW w:w="2814" w:type="pct"/>
            <w:vAlign w:val="center"/>
          </w:tcPr>
          <w:p w14:paraId="72F7E10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根据共性代码对照表填写</w:t>
            </w:r>
          </w:p>
        </w:tc>
        <w:tc>
          <w:tcPr>
            <w:tcW w:w="901" w:type="pct"/>
            <w:vMerge w:val="continue"/>
            <w:tcBorders>
              <w:top w:val="nil"/>
              <w:bottom w:val="nil"/>
            </w:tcBorders>
            <w:vAlign w:val="center"/>
          </w:tcPr>
          <w:p w14:paraId="78649A8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46C5267">
        <w:trPr>
          <w:trHeight w:val="334" w:hRule="atLeast"/>
        </w:trPr>
        <w:tc>
          <w:tcPr>
            <w:tcW w:w="1283" w:type="pct"/>
            <w:vAlign w:val="center"/>
          </w:tcPr>
          <w:p w14:paraId="2C61381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监管辖区代码</w:t>
            </w:r>
          </w:p>
        </w:tc>
        <w:tc>
          <w:tcPr>
            <w:tcW w:w="2814" w:type="pct"/>
            <w:vAlign w:val="center"/>
          </w:tcPr>
          <w:p w14:paraId="3EE4581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码表校验，包括31个省和5个计划单列市</w:t>
            </w:r>
          </w:p>
        </w:tc>
        <w:tc>
          <w:tcPr>
            <w:tcW w:w="901" w:type="pct"/>
            <w:vMerge w:val="continue"/>
            <w:tcBorders>
              <w:top w:val="nil"/>
            </w:tcBorders>
            <w:vAlign w:val="center"/>
          </w:tcPr>
          <w:p w14:paraId="4149A2F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46FE578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表2:保单件数继续率汇总表</w:t>
      </w: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424"/>
        <w:gridCol w:w="2373"/>
        <w:gridCol w:w="2362"/>
        <w:gridCol w:w="2344"/>
      </w:tblGrid>
      <w:tr w14:paraId="6D842ED5">
        <w:trPr>
          <w:trHeight w:val="1302" w:hRule="atLeast"/>
        </w:trPr>
        <w:tc>
          <w:tcPr>
            <w:tcW w:w="1275" w:type="pct"/>
            <w:vAlign w:val="center"/>
          </w:tcPr>
          <w:p w14:paraId="612BCC0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1248" w:type="pct"/>
            <w:vAlign w:val="center"/>
          </w:tcPr>
          <w:p w14:paraId="0043BC1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上一个统计期内生效的期交保单在首个保单年度末宽限期截止日前交费的保单件数</w:t>
            </w:r>
          </w:p>
        </w:tc>
        <w:tc>
          <w:tcPr>
            <w:tcW w:w="1242" w:type="pct"/>
            <w:vAlign w:val="center"/>
          </w:tcPr>
          <w:p w14:paraId="49EBBF5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上一个统计期内生效的期交保单件数</w:t>
            </w:r>
          </w:p>
        </w:tc>
        <w:tc>
          <w:tcPr>
            <w:tcW w:w="1233" w:type="pct"/>
            <w:vAlign w:val="center"/>
          </w:tcPr>
          <w:p w14:paraId="75B28A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保单件数继续率</w:t>
            </w:r>
          </w:p>
        </w:tc>
      </w:tr>
      <w:tr w14:paraId="3CF2520A">
        <w:trPr>
          <w:trHeight w:val="319" w:hRule="atLeast"/>
        </w:trPr>
        <w:tc>
          <w:tcPr>
            <w:tcW w:w="1275" w:type="pct"/>
            <w:vAlign w:val="center"/>
          </w:tcPr>
          <w:p w14:paraId="3DCD059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1248" w:type="pct"/>
            <w:vAlign w:val="center"/>
          </w:tcPr>
          <w:p w14:paraId="53DD2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3349BF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1803C6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9E8DED8">
        <w:trPr>
          <w:trHeight w:val="329" w:hRule="atLeast"/>
        </w:trPr>
        <w:tc>
          <w:tcPr>
            <w:tcW w:w="1275" w:type="pct"/>
            <w:vAlign w:val="center"/>
          </w:tcPr>
          <w:p w14:paraId="212FB37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总公司直属(含虚拟)</w:t>
            </w:r>
          </w:p>
        </w:tc>
        <w:tc>
          <w:tcPr>
            <w:tcW w:w="1248" w:type="pct"/>
            <w:vAlign w:val="center"/>
          </w:tcPr>
          <w:p w14:paraId="1C916C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6A9D30E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3ED784C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ED557E9">
        <w:trPr>
          <w:trHeight w:val="319" w:hRule="atLeast"/>
        </w:trPr>
        <w:tc>
          <w:tcPr>
            <w:tcW w:w="1275" w:type="pct"/>
            <w:vAlign w:val="center"/>
          </w:tcPr>
          <w:p w14:paraId="6409CF4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北京</w:t>
            </w:r>
          </w:p>
        </w:tc>
        <w:tc>
          <w:tcPr>
            <w:tcW w:w="1248" w:type="pct"/>
            <w:vAlign w:val="center"/>
          </w:tcPr>
          <w:p w14:paraId="548F9C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1CBF93B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3CE45AA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83CF4ED">
        <w:trPr>
          <w:trHeight w:val="320" w:hRule="atLeast"/>
        </w:trPr>
        <w:tc>
          <w:tcPr>
            <w:tcW w:w="1275" w:type="pct"/>
            <w:vAlign w:val="center"/>
          </w:tcPr>
          <w:p w14:paraId="41C01BB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天津</w:t>
            </w:r>
          </w:p>
        </w:tc>
        <w:tc>
          <w:tcPr>
            <w:tcW w:w="1248" w:type="pct"/>
            <w:vAlign w:val="center"/>
          </w:tcPr>
          <w:p w14:paraId="136DB2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550DEB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23B674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EEF7B00">
        <w:trPr>
          <w:trHeight w:val="319" w:hRule="atLeast"/>
        </w:trPr>
        <w:tc>
          <w:tcPr>
            <w:tcW w:w="1275" w:type="pct"/>
            <w:vAlign w:val="center"/>
          </w:tcPr>
          <w:p w14:paraId="0BEB287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河北</w:t>
            </w:r>
          </w:p>
        </w:tc>
        <w:tc>
          <w:tcPr>
            <w:tcW w:w="1248" w:type="pct"/>
            <w:vAlign w:val="center"/>
          </w:tcPr>
          <w:p w14:paraId="05E5C1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6B978C2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3554C2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3C43635">
        <w:trPr>
          <w:trHeight w:val="329" w:hRule="atLeast"/>
        </w:trPr>
        <w:tc>
          <w:tcPr>
            <w:tcW w:w="1275" w:type="pct"/>
            <w:vAlign w:val="center"/>
          </w:tcPr>
          <w:p w14:paraId="2774A0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tc>
        <w:tc>
          <w:tcPr>
            <w:tcW w:w="1248" w:type="pct"/>
            <w:vAlign w:val="center"/>
          </w:tcPr>
          <w:p w14:paraId="52A6966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079AC16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4DE5105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DBABE78">
        <w:trPr>
          <w:trHeight w:val="319" w:hRule="atLeast"/>
        </w:trPr>
        <w:tc>
          <w:tcPr>
            <w:tcW w:w="1275" w:type="pct"/>
            <w:vAlign w:val="center"/>
          </w:tcPr>
          <w:p w14:paraId="42226E2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青海</w:t>
            </w:r>
          </w:p>
        </w:tc>
        <w:tc>
          <w:tcPr>
            <w:tcW w:w="1248" w:type="pct"/>
            <w:vAlign w:val="center"/>
          </w:tcPr>
          <w:p w14:paraId="2D9000B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7917ABE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29E95B8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1660038">
        <w:trPr>
          <w:trHeight w:val="319" w:hRule="atLeast"/>
        </w:trPr>
        <w:tc>
          <w:tcPr>
            <w:tcW w:w="1275" w:type="pct"/>
            <w:vAlign w:val="center"/>
          </w:tcPr>
          <w:p w14:paraId="799D25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宁夏</w:t>
            </w:r>
          </w:p>
        </w:tc>
        <w:tc>
          <w:tcPr>
            <w:tcW w:w="1248" w:type="pct"/>
            <w:vAlign w:val="center"/>
          </w:tcPr>
          <w:p w14:paraId="72B5E2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60475C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5C02466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32B96EA">
        <w:trPr>
          <w:trHeight w:val="325" w:hRule="atLeast"/>
        </w:trPr>
        <w:tc>
          <w:tcPr>
            <w:tcW w:w="1275" w:type="pct"/>
            <w:vAlign w:val="center"/>
          </w:tcPr>
          <w:p w14:paraId="76368D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新疆</w:t>
            </w:r>
          </w:p>
        </w:tc>
        <w:tc>
          <w:tcPr>
            <w:tcW w:w="1248" w:type="pct"/>
            <w:vAlign w:val="center"/>
          </w:tcPr>
          <w:p w14:paraId="6353F5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2" w:type="pct"/>
            <w:vAlign w:val="center"/>
          </w:tcPr>
          <w:p w14:paraId="3A7E96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33" w:type="pct"/>
            <w:vAlign w:val="center"/>
          </w:tcPr>
          <w:p w14:paraId="465282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07813C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14:paraId="6AA40F9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指标3:犹豫期内电话回访成功率</w:t>
      </w:r>
    </w:p>
    <w:p w14:paraId="6180ED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计算公式：犹豫期内电话回访成功率=统计期内新单犹豫期电话回访成功件数/统计期内新单犹豫期应电话回访总件数×100%</w:t>
      </w:r>
    </w:p>
    <w:p w14:paraId="0F153F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填报说明：</w:t>
      </w:r>
    </w:p>
    <w:p w14:paraId="79733B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1.报数口径：</w:t>
      </w:r>
    </w:p>
    <w:p w14:paraId="5980B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以承保日期为准，承保日期在统计期内的均属于报送范围。</w:t>
      </w:r>
    </w:p>
    <w:p w14:paraId="7E4E42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只报送投保人为个人的寿险、意外险和健康险等险种，城乡居民大病保险等政策性保险和团体保险不列入报送范围。</w:t>
      </w:r>
    </w:p>
    <w:p w14:paraId="1551F2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只报送保险期限在一年以上的业务。</w:t>
      </w:r>
    </w:p>
    <w:p w14:paraId="7DF46B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消费者明确拒绝回访的，不列入报送范围。</w:t>
      </w:r>
    </w:p>
    <w:p w14:paraId="2B0DE2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犹豫期撤单、犹豫期理赔终止，以及附加险业务不列入报送范围。</w:t>
      </w:r>
    </w:p>
    <w:p w14:paraId="17DE30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采用经监管部门认可的新技术回访方式的回访件不列入报送范围。</w:t>
      </w:r>
    </w:p>
    <w:p w14:paraId="2F0B48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一个保单号仅对应一条回访记录，回访人员在同一张保单的犹豫期内多次进行回访的，其回访结果以犹豫期截止日前最后一次回访的情况为准。</w:t>
      </w:r>
    </w:p>
    <w:p w14:paraId="10662C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2.计算规则：</w:t>
      </w:r>
    </w:p>
    <w:p w14:paraId="59203D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犹豫期是指从投保人收到保单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包括纸质保单、电子保单等多种形式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并签收之日起的一段时期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个险、网销及电销渠道业务为10日，银保渠道为15日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。保险公司按分支机构所在地保险监管部门要求，或者依照保险合同约定给予消费者超过10日或15日犹豫期的，其犹豫期截止日可根据实际情况处理。</w:t>
      </w:r>
    </w:p>
    <w:p w14:paraId="340F50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统计期内新单犹豫期应电话回访总件数是指保险期限在一年以上的新单保单件数。上述业务中犹豫期截止日在统计期外，但回访成功的保单件数计入统计期内新单犹豫期电话回访成功件数。</w:t>
      </w:r>
    </w:p>
    <w:p w14:paraId="5F9D42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特别说明：电话回访成功是指回访人员在犹豫期内用电话方式将保险法律、法规和监管规定要求回访的事项逐一向投保人进行确认或予以明确告知。完成犹豫期回访规定的确认和告知事项即视为回访成功，如回访发现问题则按相关规定跟进处理和解决，不影响回访成功率计算。</w:t>
      </w:r>
    </w:p>
    <w:p w14:paraId="6B3D242B">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犹豫期内电话回访成功率清单数据涉及的字段及说明</w:t>
      </w:r>
    </w:p>
    <w:p w14:paraId="51F7E0C7">
      <w:pPr>
        <w:spacing w:line="52" w:lineRule="exact"/>
        <w:rPr>
          <w:color w:val="auto"/>
        </w:rPr>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22"/>
        <w:gridCol w:w="4775"/>
        <w:gridCol w:w="1806"/>
      </w:tblGrid>
      <w:tr w14:paraId="3678A45C">
        <w:trPr>
          <w:trHeight w:val="304" w:hRule="atLeast"/>
        </w:trPr>
        <w:tc>
          <w:tcPr>
            <w:tcW w:w="1537" w:type="pct"/>
            <w:vAlign w:val="center"/>
          </w:tcPr>
          <w:p w14:paraId="3155B0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数据项</w:t>
            </w:r>
          </w:p>
        </w:tc>
        <w:tc>
          <w:tcPr>
            <w:tcW w:w="2512" w:type="pct"/>
            <w:vAlign w:val="center"/>
          </w:tcPr>
          <w:p w14:paraId="5A6BD82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w:t>
            </w:r>
          </w:p>
        </w:tc>
        <w:tc>
          <w:tcPr>
            <w:tcW w:w="950" w:type="pct"/>
            <w:vAlign w:val="center"/>
          </w:tcPr>
          <w:p w14:paraId="0E9DB1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是否必填</w:t>
            </w:r>
          </w:p>
        </w:tc>
      </w:tr>
      <w:tr w14:paraId="42426DC6">
        <w:trPr>
          <w:trHeight w:val="309" w:hRule="atLeast"/>
        </w:trPr>
        <w:tc>
          <w:tcPr>
            <w:tcW w:w="1537" w:type="pct"/>
            <w:vAlign w:val="center"/>
          </w:tcPr>
          <w:p w14:paraId="59603D2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保单号</w:t>
            </w:r>
          </w:p>
        </w:tc>
        <w:tc>
          <w:tcPr>
            <w:tcW w:w="2512" w:type="pct"/>
            <w:vAlign w:val="center"/>
          </w:tcPr>
          <w:p w14:paraId="24ED4971">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保险公司出具的保险合同编号</w:t>
            </w:r>
          </w:p>
        </w:tc>
        <w:tc>
          <w:tcPr>
            <w:tcW w:w="950" w:type="pct"/>
            <w:vMerge w:val="restart"/>
            <w:tcBorders>
              <w:bottom w:val="nil"/>
            </w:tcBorders>
            <w:vAlign w:val="center"/>
          </w:tcPr>
          <w:p w14:paraId="624E84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参照《2018年保险公司服务评价系统数据报送规范》</w:t>
            </w:r>
          </w:p>
        </w:tc>
      </w:tr>
      <w:tr w14:paraId="33EAAB73">
        <w:trPr>
          <w:trHeight w:val="309" w:hRule="atLeast"/>
        </w:trPr>
        <w:tc>
          <w:tcPr>
            <w:tcW w:w="1537" w:type="pct"/>
            <w:vAlign w:val="center"/>
          </w:tcPr>
          <w:p w14:paraId="1BB919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是否属于银保业务</w:t>
            </w:r>
          </w:p>
        </w:tc>
        <w:tc>
          <w:tcPr>
            <w:tcW w:w="2512" w:type="pct"/>
            <w:vAlign w:val="center"/>
          </w:tcPr>
          <w:p w14:paraId="3D98DC9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50" w:type="pct"/>
            <w:vMerge w:val="continue"/>
            <w:tcBorders>
              <w:top w:val="nil"/>
              <w:bottom w:val="nil"/>
            </w:tcBorders>
            <w:vAlign w:val="center"/>
          </w:tcPr>
          <w:p w14:paraId="1BBC65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7ED40FA">
        <w:trPr>
          <w:trHeight w:val="309" w:hRule="atLeast"/>
        </w:trPr>
        <w:tc>
          <w:tcPr>
            <w:tcW w:w="1537" w:type="pct"/>
            <w:vAlign w:val="center"/>
          </w:tcPr>
          <w:p w14:paraId="4C0CA7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承保日期</w:t>
            </w:r>
          </w:p>
        </w:tc>
        <w:tc>
          <w:tcPr>
            <w:tcW w:w="2512" w:type="pct"/>
            <w:vAlign w:val="center"/>
          </w:tcPr>
          <w:p w14:paraId="1EDF8E14">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客户交费成功且保单核保通过的日期</w:t>
            </w:r>
          </w:p>
        </w:tc>
        <w:tc>
          <w:tcPr>
            <w:tcW w:w="950" w:type="pct"/>
            <w:vMerge w:val="continue"/>
            <w:tcBorders>
              <w:top w:val="nil"/>
              <w:bottom w:val="nil"/>
            </w:tcBorders>
            <w:vAlign w:val="center"/>
          </w:tcPr>
          <w:p w14:paraId="692584D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A5A4C02">
        <w:trPr>
          <w:trHeight w:val="309" w:hRule="atLeast"/>
        </w:trPr>
        <w:tc>
          <w:tcPr>
            <w:tcW w:w="1537" w:type="pct"/>
            <w:vAlign w:val="center"/>
          </w:tcPr>
          <w:p w14:paraId="68E7AD2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保单签收回执日期</w:t>
            </w:r>
          </w:p>
        </w:tc>
        <w:tc>
          <w:tcPr>
            <w:tcW w:w="2512" w:type="pct"/>
            <w:vAlign w:val="center"/>
          </w:tcPr>
          <w:p w14:paraId="602727E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客户签收保单回执时的日期</w:t>
            </w:r>
          </w:p>
        </w:tc>
        <w:tc>
          <w:tcPr>
            <w:tcW w:w="950" w:type="pct"/>
            <w:vMerge w:val="continue"/>
            <w:tcBorders>
              <w:top w:val="nil"/>
              <w:bottom w:val="nil"/>
            </w:tcBorders>
            <w:vAlign w:val="center"/>
          </w:tcPr>
          <w:p w14:paraId="191DAD1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3F5B91D">
        <w:trPr>
          <w:trHeight w:val="309" w:hRule="atLeast"/>
        </w:trPr>
        <w:tc>
          <w:tcPr>
            <w:tcW w:w="1537" w:type="pct"/>
            <w:vAlign w:val="center"/>
          </w:tcPr>
          <w:p w14:paraId="3BE653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犹豫期截止日</w:t>
            </w:r>
          </w:p>
        </w:tc>
        <w:tc>
          <w:tcPr>
            <w:tcW w:w="2512" w:type="pct"/>
            <w:vAlign w:val="center"/>
          </w:tcPr>
          <w:p w14:paraId="7FD1296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保单犹豫期的截止日</w:t>
            </w:r>
          </w:p>
        </w:tc>
        <w:tc>
          <w:tcPr>
            <w:tcW w:w="950" w:type="pct"/>
            <w:vMerge w:val="continue"/>
            <w:tcBorders>
              <w:top w:val="nil"/>
              <w:bottom w:val="nil"/>
            </w:tcBorders>
            <w:vAlign w:val="center"/>
          </w:tcPr>
          <w:p w14:paraId="439ACE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C2C5BD5">
        <w:trPr>
          <w:trHeight w:val="309" w:hRule="atLeast"/>
        </w:trPr>
        <w:tc>
          <w:tcPr>
            <w:tcW w:w="1537" w:type="pct"/>
            <w:vAlign w:val="center"/>
          </w:tcPr>
          <w:p w14:paraId="5AA6FF7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是否回访成功</w:t>
            </w:r>
          </w:p>
        </w:tc>
        <w:tc>
          <w:tcPr>
            <w:tcW w:w="2512" w:type="pct"/>
            <w:vAlign w:val="center"/>
          </w:tcPr>
          <w:p w14:paraId="2A8599A6">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50" w:type="pct"/>
            <w:vMerge w:val="continue"/>
            <w:tcBorders>
              <w:top w:val="nil"/>
              <w:bottom w:val="nil"/>
            </w:tcBorders>
            <w:vAlign w:val="center"/>
          </w:tcPr>
          <w:p w14:paraId="2C96DF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80C1731">
        <w:trPr>
          <w:trHeight w:val="309" w:hRule="atLeast"/>
        </w:trPr>
        <w:tc>
          <w:tcPr>
            <w:tcW w:w="1537" w:type="pct"/>
            <w:vAlign w:val="center"/>
          </w:tcPr>
          <w:p w14:paraId="6D595E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回访成功日期</w:t>
            </w:r>
          </w:p>
        </w:tc>
        <w:tc>
          <w:tcPr>
            <w:tcW w:w="2512" w:type="pct"/>
            <w:vAlign w:val="center"/>
          </w:tcPr>
          <w:p w14:paraId="743AF7D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保单回访成功日期</w:t>
            </w:r>
          </w:p>
        </w:tc>
        <w:tc>
          <w:tcPr>
            <w:tcW w:w="950" w:type="pct"/>
            <w:vMerge w:val="continue"/>
            <w:tcBorders>
              <w:top w:val="nil"/>
              <w:bottom w:val="nil"/>
            </w:tcBorders>
            <w:vAlign w:val="center"/>
          </w:tcPr>
          <w:p w14:paraId="118764B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7A22C89">
        <w:trPr>
          <w:trHeight w:val="309" w:hRule="atLeast"/>
        </w:trPr>
        <w:tc>
          <w:tcPr>
            <w:tcW w:w="1537" w:type="pct"/>
            <w:vAlign w:val="center"/>
          </w:tcPr>
          <w:p w14:paraId="57C2EB1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回访方式</w:t>
            </w:r>
          </w:p>
        </w:tc>
        <w:tc>
          <w:tcPr>
            <w:tcW w:w="2512" w:type="pct"/>
            <w:vAlign w:val="center"/>
          </w:tcPr>
          <w:p w14:paraId="118836AD">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电话回访/其他方式回访</w:t>
            </w:r>
          </w:p>
        </w:tc>
        <w:tc>
          <w:tcPr>
            <w:tcW w:w="950" w:type="pct"/>
            <w:vMerge w:val="continue"/>
            <w:tcBorders>
              <w:top w:val="nil"/>
              <w:bottom w:val="nil"/>
            </w:tcBorders>
            <w:vAlign w:val="center"/>
          </w:tcPr>
          <w:p w14:paraId="235B8A1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2C72411">
        <w:trPr>
          <w:trHeight w:val="309" w:hRule="atLeast"/>
        </w:trPr>
        <w:tc>
          <w:tcPr>
            <w:tcW w:w="1537" w:type="pct"/>
            <w:vAlign w:val="center"/>
          </w:tcPr>
          <w:p w14:paraId="395707F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保险机构代码</w:t>
            </w:r>
          </w:p>
        </w:tc>
        <w:tc>
          <w:tcPr>
            <w:tcW w:w="2512" w:type="pct"/>
            <w:vAlign w:val="center"/>
          </w:tcPr>
          <w:p w14:paraId="4340E18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根据共性代码对照表填写</w:t>
            </w:r>
          </w:p>
        </w:tc>
        <w:tc>
          <w:tcPr>
            <w:tcW w:w="950" w:type="pct"/>
            <w:vMerge w:val="continue"/>
            <w:tcBorders>
              <w:top w:val="nil"/>
              <w:bottom w:val="nil"/>
            </w:tcBorders>
            <w:vAlign w:val="center"/>
          </w:tcPr>
          <w:p w14:paraId="434123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DF347F6">
        <w:trPr>
          <w:trHeight w:val="324" w:hRule="atLeast"/>
        </w:trPr>
        <w:tc>
          <w:tcPr>
            <w:tcW w:w="1537" w:type="pct"/>
            <w:vAlign w:val="center"/>
          </w:tcPr>
          <w:p w14:paraId="6FF4A62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监管辖区代码</w:t>
            </w:r>
          </w:p>
        </w:tc>
        <w:tc>
          <w:tcPr>
            <w:tcW w:w="2512" w:type="pct"/>
            <w:vAlign w:val="center"/>
          </w:tcPr>
          <w:p w14:paraId="694E6065">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码表校验，包括31个省和5个计划单列市</w:t>
            </w:r>
          </w:p>
        </w:tc>
        <w:tc>
          <w:tcPr>
            <w:tcW w:w="950" w:type="pct"/>
            <w:vMerge w:val="continue"/>
            <w:tcBorders>
              <w:top w:val="nil"/>
            </w:tcBorders>
            <w:vAlign w:val="center"/>
          </w:tcPr>
          <w:p w14:paraId="4749AE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49F70998">
      <w:pPr>
        <w:spacing w:line="316" w:lineRule="auto"/>
        <w:rPr>
          <w:rFonts w:hint="eastAsia" w:ascii="Arial" w:eastAsiaTheme="minorEastAsia"/>
          <w:color w:val="auto"/>
          <w:sz w:val="21"/>
          <w:lang w:eastAsia="zh-CN"/>
        </w:rPr>
      </w:pPr>
    </w:p>
    <w:p w14:paraId="1DD02BCC">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表3:犹豫期内电话回访成功率统计汇总表</w:t>
      </w:r>
    </w:p>
    <w:p w14:paraId="1A4E02F0">
      <w:pPr>
        <w:spacing w:line="21" w:lineRule="exact"/>
        <w:rPr>
          <w:color w:val="auto"/>
        </w:rPr>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386"/>
        <w:gridCol w:w="2382"/>
        <w:gridCol w:w="2371"/>
        <w:gridCol w:w="2364"/>
      </w:tblGrid>
      <w:tr w14:paraId="26221FCC">
        <w:trPr>
          <w:trHeight w:val="623" w:hRule="atLeast"/>
        </w:trPr>
        <w:tc>
          <w:tcPr>
            <w:tcW w:w="1255" w:type="pct"/>
            <w:vAlign w:val="center"/>
          </w:tcPr>
          <w:p w14:paraId="2939AB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1253" w:type="pct"/>
            <w:vAlign w:val="center"/>
          </w:tcPr>
          <w:p w14:paraId="21B1BC3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统计期内新单犹豫期电话回访成功件数</w:t>
            </w:r>
          </w:p>
        </w:tc>
        <w:tc>
          <w:tcPr>
            <w:tcW w:w="1247" w:type="pct"/>
            <w:vAlign w:val="center"/>
          </w:tcPr>
          <w:p w14:paraId="273532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统计期内新单犹豫期应电话回访总件数</w:t>
            </w:r>
          </w:p>
        </w:tc>
        <w:tc>
          <w:tcPr>
            <w:tcW w:w="1243" w:type="pct"/>
            <w:vAlign w:val="center"/>
          </w:tcPr>
          <w:p w14:paraId="38645CF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犹豫期内电话回访成功率</w:t>
            </w:r>
          </w:p>
        </w:tc>
      </w:tr>
      <w:tr w14:paraId="67E10EDB">
        <w:trPr>
          <w:trHeight w:val="309" w:hRule="atLeast"/>
        </w:trPr>
        <w:tc>
          <w:tcPr>
            <w:tcW w:w="1255" w:type="pct"/>
            <w:vAlign w:val="center"/>
          </w:tcPr>
          <w:p w14:paraId="159BB7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1253" w:type="pct"/>
            <w:vAlign w:val="center"/>
          </w:tcPr>
          <w:p w14:paraId="0F575BB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105E2B2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43CA79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E243683">
        <w:trPr>
          <w:trHeight w:val="309" w:hRule="atLeast"/>
        </w:trPr>
        <w:tc>
          <w:tcPr>
            <w:tcW w:w="1255" w:type="pct"/>
            <w:vAlign w:val="center"/>
          </w:tcPr>
          <w:p w14:paraId="7B69617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总公司直属(含虚拟)</w:t>
            </w:r>
          </w:p>
        </w:tc>
        <w:tc>
          <w:tcPr>
            <w:tcW w:w="1253" w:type="pct"/>
            <w:vAlign w:val="center"/>
          </w:tcPr>
          <w:p w14:paraId="7244077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09B31FD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15B5E9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399A222">
        <w:trPr>
          <w:trHeight w:val="319" w:hRule="atLeast"/>
        </w:trPr>
        <w:tc>
          <w:tcPr>
            <w:tcW w:w="1255" w:type="pct"/>
            <w:vAlign w:val="center"/>
          </w:tcPr>
          <w:p w14:paraId="74DCCC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北京</w:t>
            </w:r>
          </w:p>
        </w:tc>
        <w:tc>
          <w:tcPr>
            <w:tcW w:w="1253" w:type="pct"/>
            <w:vAlign w:val="center"/>
          </w:tcPr>
          <w:p w14:paraId="5199ADB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143298F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6CFE983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F3E4E5E">
        <w:trPr>
          <w:trHeight w:val="300" w:hRule="atLeast"/>
        </w:trPr>
        <w:tc>
          <w:tcPr>
            <w:tcW w:w="1255" w:type="pct"/>
            <w:vAlign w:val="center"/>
          </w:tcPr>
          <w:p w14:paraId="0E9218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天津</w:t>
            </w:r>
          </w:p>
        </w:tc>
        <w:tc>
          <w:tcPr>
            <w:tcW w:w="1253" w:type="pct"/>
            <w:vAlign w:val="center"/>
          </w:tcPr>
          <w:p w14:paraId="5EEF7CF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3866B68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224993C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246503B">
        <w:trPr>
          <w:trHeight w:val="309" w:hRule="atLeast"/>
        </w:trPr>
        <w:tc>
          <w:tcPr>
            <w:tcW w:w="1255" w:type="pct"/>
            <w:vAlign w:val="center"/>
          </w:tcPr>
          <w:p w14:paraId="100116F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河北</w:t>
            </w:r>
          </w:p>
        </w:tc>
        <w:tc>
          <w:tcPr>
            <w:tcW w:w="1253" w:type="pct"/>
            <w:vAlign w:val="center"/>
          </w:tcPr>
          <w:p w14:paraId="25E2E1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63F978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4EE2379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B1494E5">
        <w:trPr>
          <w:trHeight w:val="309" w:hRule="atLeast"/>
        </w:trPr>
        <w:tc>
          <w:tcPr>
            <w:tcW w:w="1255" w:type="pct"/>
            <w:vAlign w:val="center"/>
          </w:tcPr>
          <w:p w14:paraId="0930D0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tc>
        <w:tc>
          <w:tcPr>
            <w:tcW w:w="1253" w:type="pct"/>
            <w:vAlign w:val="center"/>
          </w:tcPr>
          <w:p w14:paraId="1B3B86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17619C8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7E8A70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AEE8992">
        <w:trPr>
          <w:trHeight w:val="309" w:hRule="atLeast"/>
        </w:trPr>
        <w:tc>
          <w:tcPr>
            <w:tcW w:w="1255" w:type="pct"/>
            <w:vAlign w:val="center"/>
          </w:tcPr>
          <w:p w14:paraId="21E590D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青海</w:t>
            </w:r>
          </w:p>
        </w:tc>
        <w:tc>
          <w:tcPr>
            <w:tcW w:w="1253" w:type="pct"/>
            <w:vAlign w:val="center"/>
          </w:tcPr>
          <w:p w14:paraId="6AE29C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01C44A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5EF415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73084C3">
        <w:trPr>
          <w:trHeight w:val="309" w:hRule="atLeast"/>
        </w:trPr>
        <w:tc>
          <w:tcPr>
            <w:tcW w:w="1255" w:type="pct"/>
            <w:vAlign w:val="center"/>
          </w:tcPr>
          <w:p w14:paraId="1F68358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宁夏</w:t>
            </w:r>
          </w:p>
        </w:tc>
        <w:tc>
          <w:tcPr>
            <w:tcW w:w="1253" w:type="pct"/>
            <w:vAlign w:val="center"/>
          </w:tcPr>
          <w:p w14:paraId="2B94738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1BEA46E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3EA6AD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6AABAFC">
        <w:trPr>
          <w:trHeight w:val="314" w:hRule="atLeast"/>
        </w:trPr>
        <w:tc>
          <w:tcPr>
            <w:tcW w:w="1255" w:type="pct"/>
            <w:vAlign w:val="center"/>
          </w:tcPr>
          <w:p w14:paraId="4E82EF7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新疆</w:t>
            </w:r>
          </w:p>
        </w:tc>
        <w:tc>
          <w:tcPr>
            <w:tcW w:w="1253" w:type="pct"/>
            <w:vAlign w:val="center"/>
          </w:tcPr>
          <w:p w14:paraId="60B00F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7" w:type="pct"/>
            <w:vAlign w:val="center"/>
          </w:tcPr>
          <w:p w14:paraId="501E21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3" w:type="pct"/>
            <w:vAlign w:val="center"/>
          </w:tcPr>
          <w:p w14:paraId="436B738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1286D165">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第三部分</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保全类指标</w:t>
      </w:r>
    </w:p>
    <w:p w14:paraId="4A3132D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指标4:保全时效</w:t>
      </w:r>
    </w:p>
    <w:p w14:paraId="647A9B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计算公式：保全时效=∑统计期内已结案保全件的[结案时间-申请时间]/统计期内已结案保全件数量</w:t>
      </w:r>
    </w:p>
    <w:p w14:paraId="770197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填报说明：</w:t>
      </w:r>
    </w:p>
    <w:p w14:paraId="352F18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1.报数口径：</w:t>
      </w:r>
    </w:p>
    <w:p w14:paraId="74028F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以结案时间为准，所有结案时间在本统计期内的保全件均列入报送范围。</w:t>
      </w:r>
    </w:p>
    <w:p w14:paraId="68AD46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只报送投保人为个人的寿险、意外险和健康险等险种，城乡居民大病保险等政策性保险和团体保险不列入报送范围。</w:t>
      </w:r>
    </w:p>
    <w:p w14:paraId="46E746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一个保全受理号对应一条保全记录。一个保全受理号对应多个申请事项的，其保全结案时间为全部申请事项最终审核终结的系统时间。</w:t>
      </w:r>
    </w:p>
    <w:p w14:paraId="75187D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2.计算规则：</w:t>
      </w:r>
    </w:p>
    <w:p w14:paraId="2B6ED9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保全申请时间是指消费者提出办理保全业务的申请时间。</w:t>
      </w:r>
    </w:p>
    <w:p w14:paraId="164574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保全结案时间是指保险公司保全系统中保全业务最终审核终结的系统时间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不含收款时效和付款时效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,过程性的审核终结不能视为最终审核终结。</w:t>
      </w:r>
    </w:p>
    <w:p w14:paraId="162C2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3.特别说明：计算保全时效时，不区分保全业务类型。</w:t>
      </w:r>
    </w:p>
    <w:p w14:paraId="2B93930E">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保全时效清单数据涉及的字段及说明</w:t>
      </w:r>
    </w:p>
    <w:p w14:paraId="4FA92A33">
      <w:pPr>
        <w:spacing w:line="145" w:lineRule="auto"/>
        <w:rPr>
          <w:rFonts w:ascii="Arial"/>
          <w:color w:val="auto"/>
          <w:sz w:val="2"/>
        </w:rPr>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21"/>
        <w:gridCol w:w="4815"/>
        <w:gridCol w:w="1769"/>
      </w:tblGrid>
      <w:tr w14:paraId="339495E5">
        <w:trPr>
          <w:trHeight w:val="303" w:hRule="atLeast"/>
        </w:trPr>
        <w:tc>
          <w:tcPr>
            <w:tcW w:w="1536" w:type="pct"/>
            <w:vAlign w:val="center"/>
          </w:tcPr>
          <w:p w14:paraId="6D73061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数据项</w:t>
            </w:r>
          </w:p>
        </w:tc>
        <w:tc>
          <w:tcPr>
            <w:tcW w:w="2532" w:type="pct"/>
            <w:vAlign w:val="center"/>
          </w:tcPr>
          <w:p w14:paraId="54D8A63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w:t>
            </w:r>
          </w:p>
        </w:tc>
        <w:tc>
          <w:tcPr>
            <w:tcW w:w="930" w:type="pct"/>
            <w:vAlign w:val="center"/>
          </w:tcPr>
          <w:p w14:paraId="7564D47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是否必填</w:t>
            </w:r>
          </w:p>
        </w:tc>
      </w:tr>
      <w:tr w14:paraId="2F0D2262">
        <w:trPr>
          <w:trHeight w:val="309" w:hRule="atLeast"/>
        </w:trPr>
        <w:tc>
          <w:tcPr>
            <w:tcW w:w="1536" w:type="pct"/>
            <w:vAlign w:val="center"/>
          </w:tcPr>
          <w:p w14:paraId="18FEC8C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保全受理号</w:t>
            </w:r>
          </w:p>
        </w:tc>
        <w:tc>
          <w:tcPr>
            <w:tcW w:w="2532" w:type="pct"/>
            <w:vAlign w:val="center"/>
          </w:tcPr>
          <w:p w14:paraId="779AFAA5">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保单保全业务受理号</w:t>
            </w:r>
          </w:p>
        </w:tc>
        <w:tc>
          <w:tcPr>
            <w:tcW w:w="930" w:type="pct"/>
            <w:vMerge w:val="restart"/>
            <w:tcBorders>
              <w:bottom w:val="nil"/>
            </w:tcBorders>
            <w:vAlign w:val="center"/>
          </w:tcPr>
          <w:p w14:paraId="44AE54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参照《2018年保险公司服务评价系统数据报送规范》</w:t>
            </w:r>
          </w:p>
        </w:tc>
      </w:tr>
      <w:tr w14:paraId="28951A15">
        <w:trPr>
          <w:trHeight w:val="916" w:hRule="atLeast"/>
        </w:trPr>
        <w:tc>
          <w:tcPr>
            <w:tcW w:w="1536" w:type="pct"/>
            <w:vAlign w:val="center"/>
          </w:tcPr>
          <w:p w14:paraId="7A44996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保全类型</w:t>
            </w:r>
          </w:p>
        </w:tc>
        <w:tc>
          <w:tcPr>
            <w:tcW w:w="2532" w:type="pct"/>
            <w:vAlign w:val="center"/>
          </w:tcPr>
          <w:p w14:paraId="128A4B5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客户资料变更/合同内容类保全/合同权益类保全/续期交费类保全/给付类保全/非传统险类保全/其他类保全</w:t>
            </w:r>
          </w:p>
        </w:tc>
        <w:tc>
          <w:tcPr>
            <w:tcW w:w="930" w:type="pct"/>
            <w:vMerge w:val="continue"/>
            <w:tcBorders>
              <w:top w:val="nil"/>
              <w:bottom w:val="nil"/>
            </w:tcBorders>
            <w:vAlign w:val="center"/>
          </w:tcPr>
          <w:p w14:paraId="4DE5AB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B24754C">
        <w:trPr>
          <w:trHeight w:val="309" w:hRule="atLeast"/>
        </w:trPr>
        <w:tc>
          <w:tcPr>
            <w:tcW w:w="1536" w:type="pct"/>
            <w:vAlign w:val="center"/>
          </w:tcPr>
          <w:p w14:paraId="57CE38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保全申请时间</w:t>
            </w:r>
          </w:p>
        </w:tc>
        <w:tc>
          <w:tcPr>
            <w:tcW w:w="2532" w:type="pct"/>
            <w:vAlign w:val="center"/>
          </w:tcPr>
          <w:p w14:paraId="5E568E53">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消费者申请保全业务的时间</w:t>
            </w:r>
          </w:p>
        </w:tc>
        <w:tc>
          <w:tcPr>
            <w:tcW w:w="930" w:type="pct"/>
            <w:vMerge w:val="continue"/>
            <w:tcBorders>
              <w:top w:val="nil"/>
              <w:bottom w:val="nil"/>
            </w:tcBorders>
            <w:vAlign w:val="center"/>
          </w:tcPr>
          <w:p w14:paraId="3AF5B86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560E6D7">
        <w:trPr>
          <w:trHeight w:val="309" w:hRule="atLeast"/>
        </w:trPr>
        <w:tc>
          <w:tcPr>
            <w:tcW w:w="1536" w:type="pct"/>
            <w:vAlign w:val="center"/>
          </w:tcPr>
          <w:p w14:paraId="4A5D648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审核终结时间</w:t>
            </w:r>
          </w:p>
        </w:tc>
        <w:tc>
          <w:tcPr>
            <w:tcW w:w="2532" w:type="pct"/>
            <w:vAlign w:val="center"/>
          </w:tcPr>
          <w:p w14:paraId="11C7838E">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保全业务审核终结的系统时间</w:t>
            </w:r>
          </w:p>
        </w:tc>
        <w:tc>
          <w:tcPr>
            <w:tcW w:w="930" w:type="pct"/>
            <w:vMerge w:val="continue"/>
            <w:tcBorders>
              <w:top w:val="nil"/>
              <w:bottom w:val="nil"/>
            </w:tcBorders>
            <w:vAlign w:val="center"/>
          </w:tcPr>
          <w:p w14:paraId="4D2988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9E60F61">
        <w:trPr>
          <w:trHeight w:val="309" w:hRule="atLeast"/>
        </w:trPr>
        <w:tc>
          <w:tcPr>
            <w:tcW w:w="1536" w:type="pct"/>
            <w:vAlign w:val="center"/>
          </w:tcPr>
          <w:p w14:paraId="2808117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保险机构代码</w:t>
            </w:r>
          </w:p>
        </w:tc>
        <w:tc>
          <w:tcPr>
            <w:tcW w:w="2532" w:type="pct"/>
            <w:vAlign w:val="center"/>
          </w:tcPr>
          <w:p w14:paraId="3294D173">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根据共性代码对照表填写</w:t>
            </w:r>
          </w:p>
        </w:tc>
        <w:tc>
          <w:tcPr>
            <w:tcW w:w="930" w:type="pct"/>
            <w:vMerge w:val="continue"/>
            <w:tcBorders>
              <w:top w:val="nil"/>
              <w:bottom w:val="nil"/>
            </w:tcBorders>
            <w:vAlign w:val="center"/>
          </w:tcPr>
          <w:p w14:paraId="4472A83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A5317F3">
        <w:trPr>
          <w:trHeight w:val="314" w:hRule="atLeast"/>
        </w:trPr>
        <w:tc>
          <w:tcPr>
            <w:tcW w:w="1536" w:type="pct"/>
            <w:vAlign w:val="center"/>
          </w:tcPr>
          <w:p w14:paraId="3211DD4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监管辖区代码</w:t>
            </w:r>
          </w:p>
        </w:tc>
        <w:tc>
          <w:tcPr>
            <w:tcW w:w="2532" w:type="pct"/>
            <w:vAlign w:val="center"/>
          </w:tcPr>
          <w:p w14:paraId="6FD9E94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码表校验，包括31个省和5个计划单列市</w:t>
            </w:r>
          </w:p>
        </w:tc>
        <w:tc>
          <w:tcPr>
            <w:tcW w:w="930" w:type="pct"/>
            <w:vMerge w:val="continue"/>
            <w:tcBorders>
              <w:top w:val="nil"/>
            </w:tcBorders>
            <w:vAlign w:val="center"/>
          </w:tcPr>
          <w:p w14:paraId="01CB50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2F24F9FB">
      <w:pPr>
        <w:rPr>
          <w:rFonts w:hint="eastAsia" w:ascii="Arial" w:hAnsi="Arial" w:eastAsia="宋体" w:cs="Arial"/>
          <w:color w:val="auto"/>
          <w:sz w:val="21"/>
          <w:szCs w:val="21"/>
          <w:lang w:eastAsia="zh-CN"/>
        </w:rPr>
        <w:sectPr>
          <w:footerReference r:id="rId3" w:type="default"/>
          <w:pgSz w:w="11400" w:h="16760"/>
          <w:pgMar w:top="1424" w:right="893" w:bottom="1308" w:left="1010" w:header="0" w:footer="1076" w:gutter="0"/>
          <w:cols w:space="720" w:num="1"/>
        </w:sectPr>
      </w:pPr>
    </w:p>
    <w:p w14:paraId="33186C0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表4:保全时效统计汇总表</w:t>
      </w:r>
    </w:p>
    <w:p w14:paraId="35D35528">
      <w:pPr>
        <w:spacing w:line="28" w:lineRule="exact"/>
        <w:rPr>
          <w:color w:val="auto"/>
        </w:rPr>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080"/>
        <w:gridCol w:w="2076"/>
        <w:gridCol w:w="2076"/>
        <w:gridCol w:w="2081"/>
      </w:tblGrid>
      <w:tr w14:paraId="1077D979">
        <w:trPr>
          <w:trHeight w:val="943" w:hRule="atLeast"/>
        </w:trPr>
        <w:tc>
          <w:tcPr>
            <w:tcW w:w="1251" w:type="pct"/>
            <w:vAlign w:val="center"/>
          </w:tcPr>
          <w:p w14:paraId="046251A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1248" w:type="pct"/>
            <w:vAlign w:val="center"/>
          </w:tcPr>
          <w:p w14:paraId="54D452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∑统计期内已结案保全件的[结案时间一申请时间]</w:t>
            </w:r>
          </w:p>
        </w:tc>
        <w:tc>
          <w:tcPr>
            <w:tcW w:w="1248" w:type="pct"/>
            <w:vAlign w:val="center"/>
          </w:tcPr>
          <w:p w14:paraId="1BBB9A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统计期内已结案保全件数量</w:t>
            </w:r>
          </w:p>
        </w:tc>
        <w:tc>
          <w:tcPr>
            <w:tcW w:w="1251" w:type="pct"/>
            <w:vAlign w:val="center"/>
          </w:tcPr>
          <w:p w14:paraId="17EAAA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保全时效</w:t>
            </w:r>
          </w:p>
        </w:tc>
      </w:tr>
      <w:tr w14:paraId="2807BAEA">
        <w:trPr>
          <w:trHeight w:val="309" w:hRule="atLeast"/>
        </w:trPr>
        <w:tc>
          <w:tcPr>
            <w:tcW w:w="1251" w:type="pct"/>
            <w:vAlign w:val="center"/>
          </w:tcPr>
          <w:p w14:paraId="39EEF1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1248" w:type="pct"/>
            <w:vAlign w:val="center"/>
          </w:tcPr>
          <w:p w14:paraId="524A228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3086581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368D45E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E97C9C4">
        <w:trPr>
          <w:trHeight w:val="319" w:hRule="atLeast"/>
        </w:trPr>
        <w:tc>
          <w:tcPr>
            <w:tcW w:w="1251" w:type="pct"/>
            <w:vAlign w:val="center"/>
          </w:tcPr>
          <w:p w14:paraId="7BBE72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总公司直属(含虚拟)</w:t>
            </w:r>
          </w:p>
        </w:tc>
        <w:tc>
          <w:tcPr>
            <w:tcW w:w="1248" w:type="pct"/>
            <w:vAlign w:val="center"/>
          </w:tcPr>
          <w:p w14:paraId="50CEE23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4C04BEF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4BB603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D3D15C1">
        <w:trPr>
          <w:trHeight w:val="309" w:hRule="atLeast"/>
        </w:trPr>
        <w:tc>
          <w:tcPr>
            <w:tcW w:w="1251" w:type="pct"/>
            <w:vAlign w:val="center"/>
          </w:tcPr>
          <w:p w14:paraId="63522A5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北京</w:t>
            </w:r>
          </w:p>
        </w:tc>
        <w:tc>
          <w:tcPr>
            <w:tcW w:w="1248" w:type="pct"/>
            <w:vAlign w:val="center"/>
          </w:tcPr>
          <w:p w14:paraId="67E5F98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2D9C606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3802351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7B65378">
        <w:trPr>
          <w:trHeight w:val="309" w:hRule="atLeast"/>
        </w:trPr>
        <w:tc>
          <w:tcPr>
            <w:tcW w:w="1251" w:type="pct"/>
            <w:vAlign w:val="center"/>
          </w:tcPr>
          <w:p w14:paraId="61D82C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天津</w:t>
            </w:r>
          </w:p>
        </w:tc>
        <w:tc>
          <w:tcPr>
            <w:tcW w:w="1248" w:type="pct"/>
            <w:vAlign w:val="center"/>
          </w:tcPr>
          <w:p w14:paraId="1CCB9D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43E815E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0A36040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2E413DA">
        <w:trPr>
          <w:trHeight w:val="309" w:hRule="atLeast"/>
        </w:trPr>
        <w:tc>
          <w:tcPr>
            <w:tcW w:w="1251" w:type="pct"/>
            <w:vAlign w:val="center"/>
          </w:tcPr>
          <w:p w14:paraId="497C341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河北</w:t>
            </w:r>
          </w:p>
        </w:tc>
        <w:tc>
          <w:tcPr>
            <w:tcW w:w="1248" w:type="pct"/>
            <w:vAlign w:val="center"/>
          </w:tcPr>
          <w:p w14:paraId="7E83239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26C79A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1AE8694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2B06871">
        <w:trPr>
          <w:trHeight w:val="309" w:hRule="atLeast"/>
        </w:trPr>
        <w:tc>
          <w:tcPr>
            <w:tcW w:w="1251" w:type="pct"/>
            <w:vAlign w:val="center"/>
          </w:tcPr>
          <w:p w14:paraId="339C06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tc>
        <w:tc>
          <w:tcPr>
            <w:tcW w:w="1248" w:type="pct"/>
            <w:vAlign w:val="center"/>
          </w:tcPr>
          <w:p w14:paraId="41C730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4A6E83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043508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B6B55FF">
        <w:trPr>
          <w:trHeight w:val="309" w:hRule="atLeast"/>
        </w:trPr>
        <w:tc>
          <w:tcPr>
            <w:tcW w:w="1251" w:type="pct"/>
            <w:vAlign w:val="center"/>
          </w:tcPr>
          <w:p w14:paraId="16BA0C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青海</w:t>
            </w:r>
          </w:p>
        </w:tc>
        <w:tc>
          <w:tcPr>
            <w:tcW w:w="1248" w:type="pct"/>
            <w:vAlign w:val="center"/>
          </w:tcPr>
          <w:p w14:paraId="7EC95ED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6E28D8B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259E71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AEBF251">
        <w:trPr>
          <w:trHeight w:val="309" w:hRule="atLeast"/>
        </w:trPr>
        <w:tc>
          <w:tcPr>
            <w:tcW w:w="1251" w:type="pct"/>
            <w:vAlign w:val="center"/>
          </w:tcPr>
          <w:p w14:paraId="16E666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宁夏</w:t>
            </w:r>
          </w:p>
        </w:tc>
        <w:tc>
          <w:tcPr>
            <w:tcW w:w="1248" w:type="pct"/>
            <w:vAlign w:val="center"/>
          </w:tcPr>
          <w:p w14:paraId="1891D3A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21356AF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1AEE2E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439A78A">
        <w:trPr>
          <w:trHeight w:val="314" w:hRule="atLeast"/>
        </w:trPr>
        <w:tc>
          <w:tcPr>
            <w:tcW w:w="1251" w:type="pct"/>
            <w:vAlign w:val="center"/>
          </w:tcPr>
          <w:p w14:paraId="16BCC31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新疆</w:t>
            </w:r>
          </w:p>
        </w:tc>
        <w:tc>
          <w:tcPr>
            <w:tcW w:w="1248" w:type="pct"/>
            <w:vAlign w:val="center"/>
          </w:tcPr>
          <w:p w14:paraId="52FE7B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48" w:type="pct"/>
            <w:vAlign w:val="center"/>
          </w:tcPr>
          <w:p w14:paraId="0D695AB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1" w:type="pct"/>
            <w:vAlign w:val="center"/>
          </w:tcPr>
          <w:p w14:paraId="639D5EB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2FBC06C5">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第四部分</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理赔类指标</w:t>
      </w:r>
    </w:p>
    <w:p w14:paraId="36CE8F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指标5:申请支付时效</w:t>
      </w:r>
    </w:p>
    <w:p w14:paraId="377806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计算公式：申请支付时效=∑统计期内实际获赔案件的[支付时间-申请时间]/统计期内实际获赔案件数量</w:t>
      </w:r>
    </w:p>
    <w:p w14:paraId="6EA56B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指标6:出险支付时效</w:t>
      </w:r>
    </w:p>
    <w:p w14:paraId="0D8524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计算公式：出险支付时效=∑统计期内实际获赔案件的[支付时间-出险日期]/统计期内实际获赔案件数量</w:t>
      </w:r>
    </w:p>
    <w:p w14:paraId="31E5E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指标7:理赔获赔率</w:t>
      </w:r>
    </w:p>
    <w:p w14:paraId="345DA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计算公式：理赔获赔率=统计期内实际获赔案件数量/统计期内结案案件数量×100%</w:t>
      </w:r>
    </w:p>
    <w:p w14:paraId="25FA9A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填报说明：</w:t>
      </w:r>
    </w:p>
    <w:p w14:paraId="7AAC7A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1.报数口径：</w:t>
      </w:r>
    </w:p>
    <w:p w14:paraId="62C576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报送所有统计期内的结案案件。其中，实际获赔案件以结案时间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理赔系统标记结案动作的系统时间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和支付时间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参见计算规则</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中的较大者落在统计期内为准，拒赔结案案件以拒赔时间落在统计期内为准。</w:t>
      </w:r>
    </w:p>
    <w:p w14:paraId="53D1DD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只报送投保人为个人的寿险、意外险和健康险等险种，城乡居民大病保险等政策性保险和团体保险不列入报送范围。</w:t>
      </w:r>
    </w:p>
    <w:p w14:paraId="080E7E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经消费者申请，保险公司按保险合同约定通过理赔方式定期给付保险金，无需再次申请的业务不列入报送范围。</w:t>
      </w:r>
    </w:p>
    <w:p w14:paraId="43C434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采取直付模式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委托医疗机构垫付保险金或赔款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支付的赔案，在报送清单数据时，其支付时间可以以被保险人出院时医疗费用的结算时间代替。</w:t>
      </w:r>
    </w:p>
    <w:p w14:paraId="2E550C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报送清单时，一个赔案号对应一条赔案记录。</w:t>
      </w:r>
    </w:p>
    <w:p w14:paraId="6AB396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2.计算规则：</w:t>
      </w:r>
    </w:p>
    <w:p w14:paraId="2B5DE1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理赔申请时间是指保险公司收到消费者的索赔申请且收齐索赔资料的时间。</w:t>
      </w:r>
    </w:p>
    <w:p w14:paraId="1EA9DB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支付时间是指保险公司财务系统支付该赔案下最后一笔赔款指令发送成功的系统时间。如指令发送后，银行回盘显示赔款支付不成功的，视同指令发送不成功处理。</w:t>
      </w:r>
    </w:p>
    <w:p w14:paraId="68494D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出险日期是指消费者发生保险事故的日期。住院医疗类保险的出险日期以医院入院日期为准；意外医疗类保险的出险日期以意外发生日期为准；重大疾病类保险以疾病确诊日期为准；伤残类保险的被保险人若因意外致残，其出险日期以意外发生日期为准，若因疾病致残，其出险日期以疾病确诊日为准；定期寿险、意外身故类保险的出险日期以被保险人身故日为准；保险合同对出险日期另有约定的，从其约定。</w:t>
      </w:r>
    </w:p>
    <w:p w14:paraId="5FCDF5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实际获赔案件是指消费者实际获得赔付的结案案件，包括正常理赔、协议理赔、通融赔付等非拒赔结案案件。</w:t>
      </w:r>
    </w:p>
    <w:p w14:paraId="082CF7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结案案件数量是指所有实际获赔案件和拒赔结案案件数量之和。</w:t>
      </w:r>
    </w:p>
    <w:p w14:paraId="613DD3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采取直付模式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委托医疗机构垫付保险金或赔款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支付的赔案在计算申请支付时效时，统一按1天处理。</w:t>
      </w:r>
    </w:p>
    <w:p w14:paraId="335A8C3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理赔时效清单数据涉及的字段及说明</w:t>
      </w:r>
    </w:p>
    <w:p w14:paraId="2E493B1C">
      <w:pPr>
        <w:spacing w:line="48" w:lineRule="exact"/>
        <w:rPr>
          <w:color w:val="auto"/>
        </w:rPr>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54"/>
        <w:gridCol w:w="3909"/>
        <w:gridCol w:w="1451"/>
      </w:tblGrid>
      <w:tr w14:paraId="6D68CB86">
        <w:trPr>
          <w:trHeight w:val="325" w:hRule="atLeast"/>
        </w:trPr>
        <w:tc>
          <w:tcPr>
            <w:tcW w:w="1776" w:type="pct"/>
            <w:vAlign w:val="center"/>
          </w:tcPr>
          <w:p w14:paraId="3E8225C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数据项</w:t>
            </w:r>
          </w:p>
        </w:tc>
        <w:tc>
          <w:tcPr>
            <w:tcW w:w="2350" w:type="pct"/>
            <w:vAlign w:val="center"/>
          </w:tcPr>
          <w:p w14:paraId="3FBC8E3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w:t>
            </w:r>
          </w:p>
        </w:tc>
        <w:tc>
          <w:tcPr>
            <w:tcW w:w="872" w:type="pct"/>
            <w:vAlign w:val="center"/>
          </w:tcPr>
          <w:p w14:paraId="103D9E0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是否必填</w:t>
            </w:r>
          </w:p>
        </w:tc>
      </w:tr>
      <w:tr w14:paraId="55A49FC3">
        <w:trPr>
          <w:trHeight w:val="320" w:hRule="atLeast"/>
        </w:trPr>
        <w:tc>
          <w:tcPr>
            <w:tcW w:w="1776" w:type="pct"/>
            <w:vAlign w:val="center"/>
          </w:tcPr>
          <w:p w14:paraId="6CEA9E4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理赔赔案号</w:t>
            </w:r>
          </w:p>
        </w:tc>
        <w:tc>
          <w:tcPr>
            <w:tcW w:w="2350" w:type="pct"/>
            <w:vAlign w:val="center"/>
          </w:tcPr>
          <w:p w14:paraId="28E6903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保单理赔业务受理号</w:t>
            </w:r>
          </w:p>
        </w:tc>
        <w:tc>
          <w:tcPr>
            <w:tcW w:w="872" w:type="pct"/>
            <w:vMerge w:val="restart"/>
            <w:tcBorders>
              <w:bottom w:val="nil"/>
            </w:tcBorders>
            <w:vAlign w:val="center"/>
          </w:tcPr>
          <w:p w14:paraId="69A593D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参照《2018年保险公司服务评价系统数据报送规范》</w:t>
            </w:r>
          </w:p>
        </w:tc>
      </w:tr>
      <w:tr w14:paraId="6494CB20">
        <w:trPr>
          <w:trHeight w:val="319" w:hRule="atLeast"/>
        </w:trPr>
        <w:tc>
          <w:tcPr>
            <w:tcW w:w="1776" w:type="pct"/>
            <w:vAlign w:val="center"/>
          </w:tcPr>
          <w:p w14:paraId="3DD9C5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出险日期</w:t>
            </w:r>
          </w:p>
        </w:tc>
        <w:tc>
          <w:tcPr>
            <w:tcW w:w="2350" w:type="pct"/>
            <w:vAlign w:val="center"/>
          </w:tcPr>
          <w:p w14:paraId="1906525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保险事故发生的日期</w:t>
            </w:r>
          </w:p>
        </w:tc>
        <w:tc>
          <w:tcPr>
            <w:tcW w:w="872" w:type="pct"/>
            <w:vMerge w:val="continue"/>
            <w:tcBorders>
              <w:top w:val="nil"/>
              <w:bottom w:val="nil"/>
            </w:tcBorders>
            <w:vAlign w:val="center"/>
          </w:tcPr>
          <w:p w14:paraId="5DA81E8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337C7C7">
        <w:trPr>
          <w:trHeight w:val="320" w:hRule="atLeast"/>
        </w:trPr>
        <w:tc>
          <w:tcPr>
            <w:tcW w:w="1776" w:type="pct"/>
            <w:vAlign w:val="center"/>
          </w:tcPr>
          <w:p w14:paraId="6F53E6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报案时间</w:t>
            </w:r>
          </w:p>
        </w:tc>
        <w:tc>
          <w:tcPr>
            <w:tcW w:w="2350" w:type="pct"/>
            <w:vAlign w:val="center"/>
          </w:tcPr>
          <w:p w14:paraId="6EE8A24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消费者报案的时间</w:t>
            </w:r>
          </w:p>
        </w:tc>
        <w:tc>
          <w:tcPr>
            <w:tcW w:w="872" w:type="pct"/>
            <w:vMerge w:val="continue"/>
            <w:tcBorders>
              <w:top w:val="nil"/>
              <w:bottom w:val="nil"/>
            </w:tcBorders>
            <w:vAlign w:val="center"/>
          </w:tcPr>
          <w:p w14:paraId="0410B87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DAC2904">
        <w:trPr>
          <w:trHeight w:val="639" w:hRule="atLeast"/>
        </w:trPr>
        <w:tc>
          <w:tcPr>
            <w:tcW w:w="1776" w:type="pct"/>
            <w:vAlign w:val="center"/>
          </w:tcPr>
          <w:p w14:paraId="6144B96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申请时间</w:t>
            </w:r>
          </w:p>
        </w:tc>
        <w:tc>
          <w:tcPr>
            <w:tcW w:w="2350" w:type="pct"/>
            <w:vAlign w:val="center"/>
          </w:tcPr>
          <w:p w14:paraId="03F92C69">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公司收到消费者索赔申请且一次性告知后，索赔资料接收齐全的时间</w:t>
            </w:r>
          </w:p>
        </w:tc>
        <w:tc>
          <w:tcPr>
            <w:tcW w:w="872" w:type="pct"/>
            <w:vMerge w:val="continue"/>
            <w:tcBorders>
              <w:top w:val="nil"/>
              <w:bottom w:val="nil"/>
            </w:tcBorders>
            <w:vAlign w:val="center"/>
          </w:tcPr>
          <w:p w14:paraId="1505EF8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6F95339">
        <w:trPr>
          <w:trHeight w:val="938" w:hRule="atLeast"/>
        </w:trPr>
        <w:tc>
          <w:tcPr>
            <w:tcW w:w="1776" w:type="pct"/>
            <w:vAlign w:val="center"/>
          </w:tcPr>
          <w:p w14:paraId="0DA918D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结案时间</w:t>
            </w:r>
          </w:p>
        </w:tc>
        <w:tc>
          <w:tcPr>
            <w:tcW w:w="2350" w:type="pct"/>
            <w:vAlign w:val="center"/>
          </w:tcPr>
          <w:p w14:paraId="7773D1AB">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正常结案案件以理赔系统标记结案动作的系统时间为准拒赔结案案件的结案时间以拒赔时间为准</w:t>
            </w:r>
          </w:p>
        </w:tc>
        <w:tc>
          <w:tcPr>
            <w:tcW w:w="872" w:type="pct"/>
            <w:vMerge w:val="continue"/>
            <w:tcBorders>
              <w:top w:val="nil"/>
              <w:bottom w:val="nil"/>
            </w:tcBorders>
            <w:vAlign w:val="center"/>
          </w:tcPr>
          <w:p w14:paraId="79A8DD6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2379CE6">
        <w:trPr>
          <w:trHeight w:val="1258" w:hRule="atLeast"/>
        </w:trPr>
        <w:tc>
          <w:tcPr>
            <w:tcW w:w="1776" w:type="pct"/>
            <w:vAlign w:val="center"/>
          </w:tcPr>
          <w:p w14:paraId="3E58407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支付时间</w:t>
            </w:r>
          </w:p>
        </w:tc>
        <w:tc>
          <w:tcPr>
            <w:tcW w:w="2350" w:type="pct"/>
            <w:vAlign w:val="center"/>
          </w:tcPr>
          <w:p w14:paraId="4CC43F61">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财务系统对该赔案下最后一笔赔款支付指令发送成功的系统时间指令发送后，银行回盘显示赔款支付不成功的，视同指令发送不成功处理</w:t>
            </w:r>
          </w:p>
        </w:tc>
        <w:tc>
          <w:tcPr>
            <w:tcW w:w="872" w:type="pct"/>
            <w:vMerge w:val="continue"/>
            <w:tcBorders>
              <w:top w:val="nil"/>
              <w:bottom w:val="nil"/>
            </w:tcBorders>
            <w:vAlign w:val="center"/>
          </w:tcPr>
          <w:p w14:paraId="5055AC6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321AA73">
        <w:trPr>
          <w:trHeight w:val="609" w:hRule="atLeast"/>
        </w:trPr>
        <w:tc>
          <w:tcPr>
            <w:tcW w:w="1776" w:type="pct"/>
            <w:vAlign w:val="center"/>
          </w:tcPr>
          <w:p w14:paraId="7C37335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理赔结案类型</w:t>
            </w:r>
          </w:p>
        </w:tc>
        <w:tc>
          <w:tcPr>
            <w:tcW w:w="2350" w:type="pct"/>
            <w:vAlign w:val="center"/>
          </w:tcPr>
          <w:p w14:paraId="347C12F6">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正常赔付/协议赔付/部分赔付/拒赔/通融赔付</w:t>
            </w:r>
          </w:p>
        </w:tc>
        <w:tc>
          <w:tcPr>
            <w:tcW w:w="872" w:type="pct"/>
            <w:vMerge w:val="continue"/>
            <w:tcBorders>
              <w:top w:val="nil"/>
              <w:bottom w:val="nil"/>
            </w:tcBorders>
            <w:vAlign w:val="center"/>
          </w:tcPr>
          <w:p w14:paraId="7294652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B81C7D2">
        <w:trPr>
          <w:trHeight w:val="629" w:hRule="atLeast"/>
        </w:trPr>
        <w:tc>
          <w:tcPr>
            <w:tcW w:w="1776" w:type="pct"/>
            <w:vAlign w:val="center"/>
          </w:tcPr>
          <w:p w14:paraId="627756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是否属于委托医疗机构垫付的赔案</w:t>
            </w:r>
          </w:p>
        </w:tc>
        <w:tc>
          <w:tcPr>
            <w:tcW w:w="2350" w:type="pct"/>
            <w:vAlign w:val="center"/>
          </w:tcPr>
          <w:p w14:paraId="0186AABA">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872" w:type="pct"/>
            <w:vMerge w:val="continue"/>
            <w:tcBorders>
              <w:top w:val="nil"/>
              <w:bottom w:val="nil"/>
            </w:tcBorders>
            <w:vAlign w:val="center"/>
          </w:tcPr>
          <w:p w14:paraId="35CD6F8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1B69582">
        <w:trPr>
          <w:trHeight w:val="309" w:hRule="atLeast"/>
        </w:trPr>
        <w:tc>
          <w:tcPr>
            <w:tcW w:w="1776" w:type="pct"/>
            <w:vAlign w:val="center"/>
          </w:tcPr>
          <w:p w14:paraId="7F3410D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保险机构代码</w:t>
            </w:r>
          </w:p>
        </w:tc>
        <w:tc>
          <w:tcPr>
            <w:tcW w:w="2350" w:type="pct"/>
            <w:vAlign w:val="center"/>
          </w:tcPr>
          <w:p w14:paraId="0DA4EB55">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根据共性代码对照表填写</w:t>
            </w:r>
          </w:p>
        </w:tc>
        <w:tc>
          <w:tcPr>
            <w:tcW w:w="872" w:type="pct"/>
            <w:vMerge w:val="continue"/>
            <w:tcBorders>
              <w:top w:val="nil"/>
              <w:bottom w:val="nil"/>
            </w:tcBorders>
            <w:vAlign w:val="center"/>
          </w:tcPr>
          <w:p w14:paraId="06219CD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D47792A">
        <w:trPr>
          <w:trHeight w:val="314" w:hRule="atLeast"/>
        </w:trPr>
        <w:tc>
          <w:tcPr>
            <w:tcW w:w="1776" w:type="pct"/>
            <w:vAlign w:val="center"/>
          </w:tcPr>
          <w:p w14:paraId="2D964F2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监管辖区代码</w:t>
            </w:r>
          </w:p>
        </w:tc>
        <w:tc>
          <w:tcPr>
            <w:tcW w:w="2350" w:type="pct"/>
            <w:vAlign w:val="center"/>
          </w:tcPr>
          <w:p w14:paraId="250B8F9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码表校验，包括31个省和5个计划单列市</w:t>
            </w:r>
          </w:p>
        </w:tc>
        <w:tc>
          <w:tcPr>
            <w:tcW w:w="872" w:type="pct"/>
            <w:vMerge w:val="continue"/>
            <w:tcBorders>
              <w:top w:val="nil"/>
            </w:tcBorders>
            <w:vAlign w:val="center"/>
          </w:tcPr>
          <w:p w14:paraId="6820724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49455708">
      <w:pPr>
        <w:spacing w:line="306" w:lineRule="auto"/>
        <w:rPr>
          <w:rFonts w:hint="eastAsia" w:ascii="Arial" w:eastAsiaTheme="minorEastAsia"/>
          <w:color w:val="auto"/>
          <w:sz w:val="21"/>
          <w:lang w:eastAsia="zh-CN"/>
        </w:rPr>
      </w:pPr>
    </w:p>
    <w:p w14:paraId="2D9A19E2">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表5:理赔时效统计汇总表</w:t>
      </w: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82"/>
        <w:gridCol w:w="1338"/>
        <w:gridCol w:w="1263"/>
        <w:gridCol w:w="1412"/>
        <w:gridCol w:w="1402"/>
        <w:gridCol w:w="1416"/>
      </w:tblGrid>
      <w:tr w14:paraId="39EF5600">
        <w:trPr>
          <w:trHeight w:val="1532" w:hRule="atLeast"/>
        </w:trPr>
        <w:tc>
          <w:tcPr>
            <w:tcW w:w="891" w:type="pct"/>
            <w:vAlign w:val="center"/>
          </w:tcPr>
          <w:p w14:paraId="7643A4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804" w:type="pct"/>
            <w:vAlign w:val="center"/>
          </w:tcPr>
          <w:p w14:paraId="3817DC5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∑统计期内实际获赔案件的[支付时间一申请时间]</w:t>
            </w:r>
          </w:p>
        </w:tc>
        <w:tc>
          <w:tcPr>
            <w:tcW w:w="759" w:type="pct"/>
            <w:vAlign w:val="center"/>
          </w:tcPr>
          <w:p w14:paraId="7E91F0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∑统计期内实际获赔案件的[支付时间一出险日期]</w:t>
            </w:r>
          </w:p>
        </w:tc>
        <w:tc>
          <w:tcPr>
            <w:tcW w:w="849" w:type="pct"/>
            <w:vAlign w:val="center"/>
          </w:tcPr>
          <w:p w14:paraId="06FD010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统计期内实际获赔案件数量</w:t>
            </w:r>
          </w:p>
        </w:tc>
        <w:tc>
          <w:tcPr>
            <w:tcW w:w="843" w:type="pct"/>
            <w:vAlign w:val="center"/>
          </w:tcPr>
          <w:p w14:paraId="23811A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申请支付时效</w:t>
            </w:r>
          </w:p>
        </w:tc>
        <w:tc>
          <w:tcPr>
            <w:tcW w:w="851" w:type="pct"/>
            <w:vAlign w:val="center"/>
          </w:tcPr>
          <w:p w14:paraId="634D8E8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出险支付时效</w:t>
            </w:r>
          </w:p>
        </w:tc>
      </w:tr>
      <w:tr w14:paraId="5D5BDD30">
        <w:trPr>
          <w:trHeight w:val="299" w:hRule="atLeast"/>
        </w:trPr>
        <w:tc>
          <w:tcPr>
            <w:tcW w:w="891" w:type="pct"/>
            <w:vAlign w:val="center"/>
          </w:tcPr>
          <w:p w14:paraId="6C8463D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804" w:type="pct"/>
            <w:vAlign w:val="center"/>
          </w:tcPr>
          <w:p w14:paraId="52F03B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6EBB1CC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7977FD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4D3E1D4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3044EB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73CF03F">
        <w:trPr>
          <w:trHeight w:val="609" w:hRule="atLeast"/>
        </w:trPr>
        <w:tc>
          <w:tcPr>
            <w:tcW w:w="891" w:type="pct"/>
            <w:vAlign w:val="center"/>
          </w:tcPr>
          <w:p w14:paraId="38E5D06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总公司直属(含虚拟)</w:t>
            </w:r>
          </w:p>
        </w:tc>
        <w:tc>
          <w:tcPr>
            <w:tcW w:w="804" w:type="pct"/>
            <w:vAlign w:val="center"/>
          </w:tcPr>
          <w:p w14:paraId="2153DFD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595CEA0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79C72E8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05021A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2E95E4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AAAEF81">
        <w:trPr>
          <w:trHeight w:val="309" w:hRule="atLeast"/>
        </w:trPr>
        <w:tc>
          <w:tcPr>
            <w:tcW w:w="891" w:type="pct"/>
            <w:vAlign w:val="center"/>
          </w:tcPr>
          <w:p w14:paraId="28DDBDD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北京</w:t>
            </w:r>
          </w:p>
        </w:tc>
        <w:tc>
          <w:tcPr>
            <w:tcW w:w="804" w:type="pct"/>
            <w:vAlign w:val="center"/>
          </w:tcPr>
          <w:p w14:paraId="007A04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0B389B3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737957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4D0B711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77064D0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7A7C7EA">
        <w:trPr>
          <w:trHeight w:val="309" w:hRule="atLeast"/>
        </w:trPr>
        <w:tc>
          <w:tcPr>
            <w:tcW w:w="891" w:type="pct"/>
            <w:vAlign w:val="center"/>
          </w:tcPr>
          <w:p w14:paraId="5D70DDB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天津</w:t>
            </w:r>
          </w:p>
        </w:tc>
        <w:tc>
          <w:tcPr>
            <w:tcW w:w="804" w:type="pct"/>
            <w:vAlign w:val="center"/>
          </w:tcPr>
          <w:p w14:paraId="709E054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7F89BBE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10E4B3F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36BAEDF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5A1722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11EC727">
        <w:trPr>
          <w:trHeight w:val="299" w:hRule="atLeast"/>
        </w:trPr>
        <w:tc>
          <w:tcPr>
            <w:tcW w:w="891" w:type="pct"/>
            <w:vAlign w:val="center"/>
          </w:tcPr>
          <w:p w14:paraId="02E5D3F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河北</w:t>
            </w:r>
          </w:p>
        </w:tc>
        <w:tc>
          <w:tcPr>
            <w:tcW w:w="804" w:type="pct"/>
            <w:vAlign w:val="center"/>
          </w:tcPr>
          <w:p w14:paraId="072002F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1DB934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4AC3D47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0DCF165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57B6156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4393B81">
        <w:trPr>
          <w:trHeight w:val="310" w:hRule="atLeast"/>
        </w:trPr>
        <w:tc>
          <w:tcPr>
            <w:tcW w:w="891" w:type="pct"/>
            <w:vAlign w:val="center"/>
          </w:tcPr>
          <w:p w14:paraId="20ABA8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tc>
        <w:tc>
          <w:tcPr>
            <w:tcW w:w="804" w:type="pct"/>
            <w:vAlign w:val="center"/>
          </w:tcPr>
          <w:p w14:paraId="18698AC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68B14E6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1CE84C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34FF9EF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43A655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A25A36F">
        <w:trPr>
          <w:trHeight w:val="309" w:hRule="atLeast"/>
        </w:trPr>
        <w:tc>
          <w:tcPr>
            <w:tcW w:w="891" w:type="pct"/>
            <w:vAlign w:val="center"/>
          </w:tcPr>
          <w:p w14:paraId="0EAD423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青海</w:t>
            </w:r>
          </w:p>
        </w:tc>
        <w:tc>
          <w:tcPr>
            <w:tcW w:w="804" w:type="pct"/>
            <w:vAlign w:val="center"/>
          </w:tcPr>
          <w:p w14:paraId="0A3DF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7887AC1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14C9B7C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69F79D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11BE698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3669973">
        <w:trPr>
          <w:trHeight w:val="309" w:hRule="atLeast"/>
        </w:trPr>
        <w:tc>
          <w:tcPr>
            <w:tcW w:w="891" w:type="pct"/>
            <w:vAlign w:val="center"/>
          </w:tcPr>
          <w:p w14:paraId="3D0C5B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宁夏</w:t>
            </w:r>
          </w:p>
        </w:tc>
        <w:tc>
          <w:tcPr>
            <w:tcW w:w="804" w:type="pct"/>
            <w:vAlign w:val="center"/>
          </w:tcPr>
          <w:p w14:paraId="75483CF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150544E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316087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6421813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7708BB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5B8E5A8">
        <w:trPr>
          <w:trHeight w:val="314" w:hRule="atLeast"/>
        </w:trPr>
        <w:tc>
          <w:tcPr>
            <w:tcW w:w="891" w:type="pct"/>
            <w:vAlign w:val="center"/>
          </w:tcPr>
          <w:p w14:paraId="4AFD089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新疆</w:t>
            </w:r>
          </w:p>
        </w:tc>
        <w:tc>
          <w:tcPr>
            <w:tcW w:w="804" w:type="pct"/>
            <w:vAlign w:val="center"/>
          </w:tcPr>
          <w:p w14:paraId="631C3FE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759" w:type="pct"/>
            <w:vAlign w:val="center"/>
          </w:tcPr>
          <w:p w14:paraId="2C6C5F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9" w:type="pct"/>
            <w:vAlign w:val="center"/>
          </w:tcPr>
          <w:p w14:paraId="20EFB4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43" w:type="pct"/>
            <w:vAlign w:val="center"/>
          </w:tcPr>
          <w:p w14:paraId="6A236FD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851" w:type="pct"/>
            <w:vAlign w:val="center"/>
          </w:tcPr>
          <w:p w14:paraId="477E455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1ACB5F1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p w14:paraId="33209B1C">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表6:理赔获赔率统计汇总表</w:t>
      </w:r>
    </w:p>
    <w:p w14:paraId="47C19801">
      <w:pPr>
        <w:spacing w:line="16" w:lineRule="exact"/>
        <w:rPr>
          <w:color w:val="auto"/>
        </w:rPr>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236"/>
        <w:gridCol w:w="1986"/>
        <w:gridCol w:w="2006"/>
        <w:gridCol w:w="2086"/>
      </w:tblGrid>
      <w:tr w14:paraId="5CF884DF">
        <w:trPr>
          <w:trHeight w:val="624" w:hRule="atLeast"/>
        </w:trPr>
        <w:tc>
          <w:tcPr>
            <w:tcW w:w="1344" w:type="pct"/>
            <w:vAlign w:val="center"/>
          </w:tcPr>
          <w:p w14:paraId="50BEBC1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1194" w:type="pct"/>
            <w:vAlign w:val="center"/>
          </w:tcPr>
          <w:p w14:paraId="73601CB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统计期内实际获赔案件数量</w:t>
            </w:r>
          </w:p>
        </w:tc>
        <w:tc>
          <w:tcPr>
            <w:tcW w:w="1206" w:type="pct"/>
            <w:vAlign w:val="center"/>
          </w:tcPr>
          <w:p w14:paraId="03441E5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统计期内结案案件数量</w:t>
            </w:r>
          </w:p>
        </w:tc>
        <w:tc>
          <w:tcPr>
            <w:tcW w:w="1254" w:type="pct"/>
            <w:vAlign w:val="center"/>
          </w:tcPr>
          <w:p w14:paraId="76CB52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理赔获赔率</w:t>
            </w:r>
          </w:p>
        </w:tc>
      </w:tr>
      <w:tr w14:paraId="549225BD">
        <w:trPr>
          <w:trHeight w:val="319" w:hRule="atLeast"/>
        </w:trPr>
        <w:tc>
          <w:tcPr>
            <w:tcW w:w="1344" w:type="pct"/>
            <w:vAlign w:val="center"/>
          </w:tcPr>
          <w:p w14:paraId="1ED252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1194" w:type="pct"/>
            <w:vAlign w:val="center"/>
          </w:tcPr>
          <w:p w14:paraId="017B0B0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2EDCC6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0F0EA78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099B55D">
        <w:trPr>
          <w:trHeight w:val="309" w:hRule="atLeast"/>
        </w:trPr>
        <w:tc>
          <w:tcPr>
            <w:tcW w:w="1344" w:type="pct"/>
            <w:vAlign w:val="center"/>
          </w:tcPr>
          <w:p w14:paraId="318676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总公司直属(含虚拟)</w:t>
            </w:r>
          </w:p>
        </w:tc>
        <w:tc>
          <w:tcPr>
            <w:tcW w:w="1194" w:type="pct"/>
            <w:vAlign w:val="center"/>
          </w:tcPr>
          <w:p w14:paraId="3A70EEB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4E0EB7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659E385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2A32493">
        <w:trPr>
          <w:trHeight w:val="309" w:hRule="atLeast"/>
        </w:trPr>
        <w:tc>
          <w:tcPr>
            <w:tcW w:w="1344" w:type="pct"/>
            <w:vAlign w:val="center"/>
          </w:tcPr>
          <w:p w14:paraId="3ED6602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北京</w:t>
            </w:r>
          </w:p>
        </w:tc>
        <w:tc>
          <w:tcPr>
            <w:tcW w:w="1194" w:type="pct"/>
            <w:vAlign w:val="center"/>
          </w:tcPr>
          <w:p w14:paraId="1821AC8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2BF96E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4B553A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3AF3D67">
        <w:trPr>
          <w:trHeight w:val="309" w:hRule="atLeast"/>
        </w:trPr>
        <w:tc>
          <w:tcPr>
            <w:tcW w:w="1344" w:type="pct"/>
            <w:vAlign w:val="center"/>
          </w:tcPr>
          <w:p w14:paraId="00E21B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天津</w:t>
            </w:r>
          </w:p>
        </w:tc>
        <w:tc>
          <w:tcPr>
            <w:tcW w:w="1194" w:type="pct"/>
            <w:vAlign w:val="center"/>
          </w:tcPr>
          <w:p w14:paraId="10187F2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4F6154E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631D18E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6700466">
        <w:trPr>
          <w:trHeight w:val="319" w:hRule="atLeast"/>
        </w:trPr>
        <w:tc>
          <w:tcPr>
            <w:tcW w:w="1344" w:type="pct"/>
            <w:vAlign w:val="center"/>
          </w:tcPr>
          <w:p w14:paraId="5745CB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河北</w:t>
            </w:r>
          </w:p>
        </w:tc>
        <w:tc>
          <w:tcPr>
            <w:tcW w:w="1194" w:type="pct"/>
            <w:vAlign w:val="center"/>
          </w:tcPr>
          <w:p w14:paraId="3C56A92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5DAE1F4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34363F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DC5375F">
        <w:trPr>
          <w:trHeight w:val="309" w:hRule="atLeast"/>
        </w:trPr>
        <w:tc>
          <w:tcPr>
            <w:tcW w:w="1344" w:type="pct"/>
            <w:vAlign w:val="center"/>
          </w:tcPr>
          <w:p w14:paraId="5A53D83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tc>
        <w:tc>
          <w:tcPr>
            <w:tcW w:w="1194" w:type="pct"/>
            <w:vAlign w:val="center"/>
          </w:tcPr>
          <w:p w14:paraId="528950D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705CA71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5A28A79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F22E00F">
        <w:trPr>
          <w:trHeight w:val="319" w:hRule="atLeast"/>
        </w:trPr>
        <w:tc>
          <w:tcPr>
            <w:tcW w:w="1344" w:type="pct"/>
            <w:vAlign w:val="center"/>
          </w:tcPr>
          <w:p w14:paraId="2A8012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青海</w:t>
            </w:r>
          </w:p>
        </w:tc>
        <w:tc>
          <w:tcPr>
            <w:tcW w:w="1194" w:type="pct"/>
            <w:vAlign w:val="center"/>
          </w:tcPr>
          <w:p w14:paraId="47EA4D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32F402A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59EE59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7C82561">
        <w:trPr>
          <w:trHeight w:val="309" w:hRule="atLeast"/>
        </w:trPr>
        <w:tc>
          <w:tcPr>
            <w:tcW w:w="1344" w:type="pct"/>
            <w:vAlign w:val="center"/>
          </w:tcPr>
          <w:p w14:paraId="696802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宁夏</w:t>
            </w:r>
          </w:p>
        </w:tc>
        <w:tc>
          <w:tcPr>
            <w:tcW w:w="1194" w:type="pct"/>
            <w:vAlign w:val="center"/>
          </w:tcPr>
          <w:p w14:paraId="6FAB60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358D13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7B046F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DCBFE1D">
        <w:trPr>
          <w:trHeight w:val="314" w:hRule="atLeast"/>
        </w:trPr>
        <w:tc>
          <w:tcPr>
            <w:tcW w:w="1344" w:type="pct"/>
            <w:vAlign w:val="center"/>
          </w:tcPr>
          <w:p w14:paraId="5ED421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新疆</w:t>
            </w:r>
          </w:p>
        </w:tc>
        <w:tc>
          <w:tcPr>
            <w:tcW w:w="1194" w:type="pct"/>
            <w:vAlign w:val="center"/>
          </w:tcPr>
          <w:p w14:paraId="0EE437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06" w:type="pct"/>
            <w:vAlign w:val="center"/>
          </w:tcPr>
          <w:p w14:paraId="02E306C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254" w:type="pct"/>
            <w:vAlign w:val="center"/>
          </w:tcPr>
          <w:p w14:paraId="54BE8D7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6D993B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14:paraId="53D65454">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第五部分</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观测类指标</w:t>
      </w:r>
    </w:p>
    <w:p w14:paraId="71C73EB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指标8:电话呼入服务满意率</w:t>
      </w:r>
    </w:p>
    <w:p w14:paraId="5CD119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计算公式：消费者评价满意笔数/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发起满意度调查后消费者有效评价笔数+未发起满意度调查的笔数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×100%</w:t>
      </w:r>
    </w:p>
    <w:p w14:paraId="2F8BE5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填报说明：</w:t>
      </w:r>
    </w:p>
    <w:p w14:paraId="03BAF2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1.报数口径：</w:t>
      </w:r>
    </w:p>
    <w:p w14:paraId="59EACC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以消费者来电时间为准，来电时间在统计期内的均属于报送范围。</w:t>
      </w:r>
    </w:p>
    <w:p w14:paraId="0A59EB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只报送保险公司客服电话中心受理的电话，不含电销电话中心的电话。</w:t>
      </w:r>
    </w:p>
    <w:p w14:paraId="514476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满意度评价调查渠道限定为话后邀约方式。话后邀约是指消费者来电通话完成后，客服人员主动邀请消费者对其服务的满意度情况进行评价。</w:t>
      </w:r>
    </w:p>
    <w:p w14:paraId="6F9EB0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2.计算规则：</w:t>
      </w:r>
    </w:p>
    <w:p w14:paraId="47C324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发起满意度调查后消费者有效评价笔数是指统计期内消费者来电通话完成，保险公司发起满意度调查后，消费者对评价结果予以直接回应的笔数。消费者明确拒绝进行评价或未反馈评价结果的不计入。</w:t>
      </w:r>
    </w:p>
    <w:p w14:paraId="70D81A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未发起满意度调查的笔数是指统计期内消费者来电通话完成后，保险公司未主动触发满意度调查的来电数量。</w:t>
      </w:r>
    </w:p>
    <w:p w14:paraId="19FB4A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满意度调查评价选项设置“非常不满意”、“不满意”、“满意”和“非常满意”4档。消费者反馈其他评价结果的，视同未反馈评价结果处理。</w:t>
      </w:r>
    </w:p>
    <w:p w14:paraId="005988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消费者评价满意笔数是指统计期内发起满意度调查后消费者评价“满意”和“非常满意”的笔数。</w:t>
      </w:r>
    </w:p>
    <w:p w14:paraId="375DC7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计算电话呼入服务满意率指标时，通话时长小于60秒的电话在计算该指标的分子分母数据中同时予以剔除。</w:t>
      </w:r>
    </w:p>
    <w:p w14:paraId="009104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3.特别说明：各监管辖区分支机构指标数据统一使用总公司数据代替。</w:t>
      </w:r>
    </w:p>
    <w:p w14:paraId="3C5125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14:paraId="6703AFFF">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电话呼入服务满意率清单数据涉及的字段及说明</w:t>
      </w:r>
      <w:bookmarkStart w:id="0" w:name="_GoBack"/>
      <w:bookmarkEnd w:id="0"/>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262"/>
        <w:gridCol w:w="4452"/>
        <w:gridCol w:w="1599"/>
      </w:tblGrid>
      <w:tr w14:paraId="7E35DD25">
        <w:trPr>
          <w:trHeight w:val="314" w:hRule="atLeast"/>
        </w:trPr>
        <w:tc>
          <w:tcPr>
            <w:tcW w:w="1360" w:type="pct"/>
            <w:vAlign w:val="center"/>
          </w:tcPr>
          <w:p w14:paraId="1BDA6E0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数据项</w:t>
            </w:r>
          </w:p>
        </w:tc>
        <w:tc>
          <w:tcPr>
            <w:tcW w:w="2677" w:type="pct"/>
            <w:vAlign w:val="center"/>
          </w:tcPr>
          <w:p w14:paraId="1026C94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w:t>
            </w:r>
          </w:p>
        </w:tc>
        <w:tc>
          <w:tcPr>
            <w:tcW w:w="961" w:type="pct"/>
            <w:vAlign w:val="center"/>
          </w:tcPr>
          <w:p w14:paraId="079082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是否必填</w:t>
            </w:r>
          </w:p>
        </w:tc>
      </w:tr>
      <w:tr w14:paraId="239A30AD">
        <w:trPr>
          <w:trHeight w:val="310" w:hRule="atLeast"/>
        </w:trPr>
        <w:tc>
          <w:tcPr>
            <w:tcW w:w="1360" w:type="pct"/>
            <w:vAlign w:val="center"/>
          </w:tcPr>
          <w:p w14:paraId="37DCC7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来电时间</w:t>
            </w:r>
          </w:p>
        </w:tc>
        <w:tc>
          <w:tcPr>
            <w:tcW w:w="2677" w:type="pct"/>
            <w:vAlign w:val="center"/>
          </w:tcPr>
          <w:p w14:paraId="7607DDB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消费者拨打公司客服电话时间</w:t>
            </w:r>
          </w:p>
        </w:tc>
        <w:tc>
          <w:tcPr>
            <w:tcW w:w="961" w:type="pct"/>
            <w:vMerge w:val="restart"/>
            <w:tcBorders>
              <w:bottom w:val="nil"/>
            </w:tcBorders>
            <w:vAlign w:val="center"/>
          </w:tcPr>
          <w:p w14:paraId="79EF62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参照《2018年保险公司服务评价系统数据报送规范》</w:t>
            </w:r>
          </w:p>
        </w:tc>
      </w:tr>
      <w:tr w14:paraId="7BA5434C">
        <w:trPr>
          <w:trHeight w:val="619" w:hRule="atLeast"/>
        </w:trPr>
        <w:tc>
          <w:tcPr>
            <w:tcW w:w="1360" w:type="pct"/>
            <w:vAlign w:val="center"/>
          </w:tcPr>
          <w:p w14:paraId="1EC278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来电号码</w:t>
            </w:r>
          </w:p>
        </w:tc>
        <w:tc>
          <w:tcPr>
            <w:tcW w:w="2677" w:type="pct"/>
            <w:vAlign w:val="center"/>
          </w:tcPr>
          <w:p w14:paraId="6F503959">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固定电话包括电话区号，除区号外任选3位数字脱敏；手机号码除长途冠码外，任选4位数字脱敏</w:t>
            </w:r>
          </w:p>
        </w:tc>
        <w:tc>
          <w:tcPr>
            <w:tcW w:w="961" w:type="pct"/>
            <w:vMerge w:val="continue"/>
            <w:tcBorders>
              <w:top w:val="nil"/>
              <w:bottom w:val="nil"/>
            </w:tcBorders>
            <w:vAlign w:val="center"/>
          </w:tcPr>
          <w:p w14:paraId="75A4CE5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38EE79AD">
        <w:trPr>
          <w:trHeight w:val="309" w:hRule="atLeast"/>
        </w:trPr>
        <w:tc>
          <w:tcPr>
            <w:tcW w:w="1360" w:type="pct"/>
            <w:vAlign w:val="center"/>
          </w:tcPr>
          <w:p w14:paraId="1457FF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来电是否接通</w:t>
            </w:r>
          </w:p>
        </w:tc>
        <w:tc>
          <w:tcPr>
            <w:tcW w:w="2677" w:type="pct"/>
            <w:vAlign w:val="center"/>
          </w:tcPr>
          <w:p w14:paraId="57740151">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61" w:type="pct"/>
            <w:vMerge w:val="continue"/>
            <w:tcBorders>
              <w:top w:val="nil"/>
              <w:bottom w:val="nil"/>
            </w:tcBorders>
            <w:vAlign w:val="center"/>
          </w:tcPr>
          <w:p w14:paraId="7A15AE5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7FDAEE31">
        <w:trPr>
          <w:trHeight w:val="309" w:hRule="atLeast"/>
        </w:trPr>
        <w:tc>
          <w:tcPr>
            <w:tcW w:w="1360" w:type="pct"/>
            <w:vAlign w:val="center"/>
          </w:tcPr>
          <w:p w14:paraId="7511A49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人工接通时间</w:t>
            </w:r>
          </w:p>
        </w:tc>
        <w:tc>
          <w:tcPr>
            <w:tcW w:w="2677" w:type="pct"/>
            <w:vAlign w:val="center"/>
          </w:tcPr>
          <w:p w14:paraId="70DD5E1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人工坐席接通电话时间</w:t>
            </w:r>
          </w:p>
        </w:tc>
        <w:tc>
          <w:tcPr>
            <w:tcW w:w="961" w:type="pct"/>
            <w:vMerge w:val="continue"/>
            <w:tcBorders>
              <w:top w:val="nil"/>
              <w:bottom w:val="nil"/>
            </w:tcBorders>
            <w:vAlign w:val="center"/>
          </w:tcPr>
          <w:p w14:paraId="598B347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520D975D">
        <w:trPr>
          <w:trHeight w:val="619" w:hRule="atLeast"/>
        </w:trPr>
        <w:tc>
          <w:tcPr>
            <w:tcW w:w="1360" w:type="pct"/>
            <w:vAlign w:val="center"/>
          </w:tcPr>
          <w:p w14:paraId="3DEDEB6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保险公司是否发起消费者满意度调查</w:t>
            </w:r>
          </w:p>
        </w:tc>
        <w:tc>
          <w:tcPr>
            <w:tcW w:w="2677" w:type="pct"/>
            <w:vAlign w:val="center"/>
          </w:tcPr>
          <w:p w14:paraId="2233687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61" w:type="pct"/>
            <w:vMerge w:val="continue"/>
            <w:tcBorders>
              <w:top w:val="nil"/>
              <w:bottom w:val="nil"/>
            </w:tcBorders>
            <w:vAlign w:val="center"/>
          </w:tcPr>
          <w:p w14:paraId="2DC73E6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4686CE03">
        <w:trPr>
          <w:trHeight w:val="619" w:hRule="atLeast"/>
        </w:trPr>
        <w:tc>
          <w:tcPr>
            <w:tcW w:w="1360" w:type="pct"/>
            <w:vAlign w:val="center"/>
          </w:tcPr>
          <w:p w14:paraId="033660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消费者是否对满意度调查结果予以实际反馈</w:t>
            </w:r>
          </w:p>
        </w:tc>
        <w:tc>
          <w:tcPr>
            <w:tcW w:w="2677" w:type="pct"/>
            <w:vAlign w:val="center"/>
          </w:tcPr>
          <w:p w14:paraId="4A66DA2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是/否</w:t>
            </w:r>
          </w:p>
        </w:tc>
        <w:tc>
          <w:tcPr>
            <w:tcW w:w="961" w:type="pct"/>
            <w:vMerge w:val="continue"/>
            <w:tcBorders>
              <w:top w:val="nil"/>
              <w:bottom w:val="nil"/>
            </w:tcBorders>
            <w:vAlign w:val="center"/>
          </w:tcPr>
          <w:p w14:paraId="2CA33B0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2EC08A2B">
        <w:trPr>
          <w:trHeight w:val="619" w:hRule="atLeast"/>
        </w:trPr>
        <w:tc>
          <w:tcPr>
            <w:tcW w:w="1360" w:type="pct"/>
            <w:vAlign w:val="center"/>
          </w:tcPr>
          <w:p w14:paraId="2FF269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评价结果</w:t>
            </w:r>
          </w:p>
        </w:tc>
        <w:tc>
          <w:tcPr>
            <w:tcW w:w="2677" w:type="pct"/>
            <w:vAlign w:val="center"/>
          </w:tcPr>
          <w:p w14:paraId="3F56816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评价选项统一设置为非常满意、满意、不满意、非常不满意4档</w:t>
            </w:r>
          </w:p>
        </w:tc>
        <w:tc>
          <w:tcPr>
            <w:tcW w:w="961" w:type="pct"/>
            <w:vMerge w:val="continue"/>
            <w:tcBorders>
              <w:top w:val="nil"/>
              <w:bottom w:val="nil"/>
            </w:tcBorders>
            <w:vAlign w:val="center"/>
          </w:tcPr>
          <w:p w14:paraId="310C1CE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78FC34E">
        <w:trPr>
          <w:trHeight w:val="309" w:hRule="atLeast"/>
        </w:trPr>
        <w:tc>
          <w:tcPr>
            <w:tcW w:w="1360" w:type="pct"/>
            <w:tcBorders>
              <w:bottom w:val="single" w:color="000000" w:sz="2" w:space="0"/>
            </w:tcBorders>
            <w:vAlign w:val="center"/>
          </w:tcPr>
          <w:p w14:paraId="292310F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评价结果反馈时间</w:t>
            </w:r>
          </w:p>
        </w:tc>
        <w:tc>
          <w:tcPr>
            <w:tcW w:w="2677" w:type="pct"/>
            <w:tcBorders>
              <w:bottom w:val="single" w:color="000000" w:sz="2" w:space="0"/>
            </w:tcBorders>
            <w:vAlign w:val="center"/>
          </w:tcPr>
          <w:p w14:paraId="6CF01DA1">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消费者向保险公司反馈评价结果的时间</w:t>
            </w:r>
          </w:p>
        </w:tc>
        <w:tc>
          <w:tcPr>
            <w:tcW w:w="961" w:type="pct"/>
            <w:vMerge w:val="continue"/>
            <w:tcBorders>
              <w:top w:val="nil"/>
              <w:bottom w:val="nil"/>
            </w:tcBorders>
            <w:vAlign w:val="center"/>
          </w:tcPr>
          <w:p w14:paraId="4F7E031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6422F43F">
        <w:trPr>
          <w:trHeight w:val="314" w:hRule="atLeast"/>
        </w:trPr>
        <w:tc>
          <w:tcPr>
            <w:tcW w:w="1360" w:type="pct"/>
            <w:tcBorders>
              <w:top w:val="single" w:color="000000" w:sz="2" w:space="0"/>
            </w:tcBorders>
            <w:vAlign w:val="center"/>
          </w:tcPr>
          <w:p w14:paraId="5ABD3B4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挂机时间</w:t>
            </w:r>
          </w:p>
        </w:tc>
        <w:tc>
          <w:tcPr>
            <w:tcW w:w="2677" w:type="pct"/>
            <w:tcBorders>
              <w:top w:val="single" w:color="000000" w:sz="2" w:space="0"/>
            </w:tcBorders>
            <w:vAlign w:val="center"/>
          </w:tcPr>
          <w:p w14:paraId="12FD65A9">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消费者挂机时间</w:t>
            </w:r>
          </w:p>
        </w:tc>
        <w:tc>
          <w:tcPr>
            <w:tcW w:w="961" w:type="pct"/>
            <w:vMerge w:val="continue"/>
            <w:tcBorders>
              <w:top w:val="nil"/>
              <w:bottom w:val="nil"/>
            </w:tcBorders>
            <w:vAlign w:val="center"/>
          </w:tcPr>
          <w:p w14:paraId="3721B71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026648E9">
        <w:trPr>
          <w:trHeight w:val="310" w:hRule="atLeast"/>
        </w:trPr>
        <w:tc>
          <w:tcPr>
            <w:tcW w:w="1360" w:type="pct"/>
            <w:vAlign w:val="center"/>
          </w:tcPr>
          <w:p w14:paraId="61FE326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保险机构代码</w:t>
            </w:r>
          </w:p>
        </w:tc>
        <w:tc>
          <w:tcPr>
            <w:tcW w:w="2677" w:type="pct"/>
            <w:vAlign w:val="center"/>
          </w:tcPr>
          <w:p w14:paraId="0D8ED4A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根据共性代码对照表填写</w:t>
            </w:r>
          </w:p>
        </w:tc>
        <w:tc>
          <w:tcPr>
            <w:tcW w:w="961" w:type="pct"/>
            <w:vMerge w:val="continue"/>
            <w:tcBorders>
              <w:top w:val="nil"/>
              <w:bottom w:val="nil"/>
            </w:tcBorders>
            <w:vAlign w:val="center"/>
          </w:tcPr>
          <w:p w14:paraId="6D5D391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r w14:paraId="1C190332">
        <w:trPr>
          <w:trHeight w:val="314" w:hRule="atLeast"/>
        </w:trPr>
        <w:tc>
          <w:tcPr>
            <w:tcW w:w="1360" w:type="pct"/>
            <w:vAlign w:val="center"/>
          </w:tcPr>
          <w:p w14:paraId="449F26F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监管辖区代码</w:t>
            </w:r>
          </w:p>
        </w:tc>
        <w:tc>
          <w:tcPr>
            <w:tcW w:w="2677" w:type="pct"/>
            <w:vAlign w:val="center"/>
          </w:tcPr>
          <w:p w14:paraId="6B9279A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统一填写为000000</w:t>
            </w:r>
          </w:p>
        </w:tc>
        <w:tc>
          <w:tcPr>
            <w:tcW w:w="961" w:type="pct"/>
            <w:vMerge w:val="continue"/>
            <w:tcBorders>
              <w:top w:val="nil"/>
            </w:tcBorders>
            <w:vAlign w:val="center"/>
          </w:tcPr>
          <w:p w14:paraId="39395A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067D24F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表7:电话呼入服务满意率统计汇总表</w:t>
      </w:r>
    </w:p>
    <w:p w14:paraId="2C485C13">
      <w:pPr>
        <w:spacing w:line="21" w:lineRule="exact"/>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65"/>
        <w:gridCol w:w="1679"/>
        <w:gridCol w:w="1670"/>
        <w:gridCol w:w="1634"/>
        <w:gridCol w:w="1665"/>
      </w:tblGrid>
      <w:tr w14:paraId="1DF6BA47">
        <w:trPr>
          <w:trHeight w:val="917" w:hRule="atLeast"/>
        </w:trPr>
        <w:tc>
          <w:tcPr>
            <w:tcW w:w="1001" w:type="pct"/>
            <w:vAlign w:val="center"/>
          </w:tcPr>
          <w:p w14:paraId="760E946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地区</w:t>
            </w:r>
          </w:p>
        </w:tc>
        <w:tc>
          <w:tcPr>
            <w:tcW w:w="1009" w:type="pct"/>
            <w:vAlign w:val="center"/>
          </w:tcPr>
          <w:p w14:paraId="7D9AE82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消费者评价满意笔数</w:t>
            </w:r>
          </w:p>
        </w:tc>
        <w:tc>
          <w:tcPr>
            <w:tcW w:w="1004" w:type="pct"/>
            <w:vAlign w:val="center"/>
          </w:tcPr>
          <w:p w14:paraId="568448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发起满意度调查后消费者有效评价笔数</w:t>
            </w:r>
          </w:p>
        </w:tc>
        <w:tc>
          <w:tcPr>
            <w:tcW w:w="982" w:type="pct"/>
            <w:vAlign w:val="center"/>
          </w:tcPr>
          <w:p w14:paraId="483101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未发起满意度调查的笔数</w:t>
            </w:r>
          </w:p>
        </w:tc>
        <w:tc>
          <w:tcPr>
            <w:tcW w:w="1001" w:type="pct"/>
            <w:vAlign w:val="center"/>
          </w:tcPr>
          <w:p w14:paraId="37FA4A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电话呼入服务满意率</w:t>
            </w:r>
          </w:p>
        </w:tc>
      </w:tr>
      <w:tr w14:paraId="2C5980BF">
        <w:trPr>
          <w:trHeight w:val="302" w:hRule="atLeast"/>
        </w:trPr>
        <w:tc>
          <w:tcPr>
            <w:tcW w:w="1001" w:type="pct"/>
            <w:vAlign w:val="center"/>
          </w:tcPr>
          <w:p w14:paraId="3FA1B0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全国合计</w:t>
            </w:r>
          </w:p>
        </w:tc>
        <w:tc>
          <w:tcPr>
            <w:tcW w:w="1009" w:type="pct"/>
            <w:vAlign w:val="center"/>
          </w:tcPr>
          <w:p w14:paraId="44B7544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004" w:type="pct"/>
            <w:vAlign w:val="center"/>
          </w:tcPr>
          <w:p w14:paraId="2C73705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982" w:type="pct"/>
            <w:vAlign w:val="center"/>
          </w:tcPr>
          <w:p w14:paraId="7EBF8C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c>
          <w:tcPr>
            <w:tcW w:w="1001" w:type="pct"/>
            <w:vAlign w:val="center"/>
          </w:tcPr>
          <w:p w14:paraId="411738C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auto"/>
                <w:sz w:val="24"/>
                <w:szCs w:val="24"/>
              </w:rPr>
            </w:pPr>
          </w:p>
        </w:tc>
      </w:tr>
    </w:tbl>
    <w:p w14:paraId="2A6D50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14:paraId="52FE7C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14:paraId="09125E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BE47">
    <w:pPr>
      <w:spacing w:line="221" w:lineRule="exact"/>
      <w:ind w:left="4709"/>
      <w:rPr>
        <w:rFonts w:ascii="Arial" w:hAnsi="Arial" w:eastAsia="Arial" w:cs="Arial"/>
        <w:sz w:val="17"/>
        <w:szCs w:val="17"/>
      </w:rPr>
    </w:pPr>
    <w:r>
      <w:rPr>
        <w:rFonts w:ascii="Arial" w:hAnsi="Arial" w:eastAsia="Arial" w:cs="Arial"/>
        <w:spacing w:val="-2"/>
        <w:position w:val="1"/>
        <w:sz w:val="17"/>
        <w:szCs w:val="17"/>
      </w:rPr>
      <w:t>39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D12C8">
    <w:pPr>
      <w:spacing w:line="221" w:lineRule="exact"/>
      <w:ind w:left="4809"/>
      <w:rPr>
        <w:rFonts w:ascii="Arial" w:hAnsi="Arial" w:eastAsia="Arial" w:cs="Arial"/>
        <w:sz w:val="17"/>
        <w:szCs w:val="17"/>
      </w:rPr>
    </w:pPr>
    <w:r>
      <w:rPr>
        <w:rFonts w:ascii="Arial" w:hAnsi="Arial" w:eastAsia="Arial" w:cs="Arial"/>
        <w:spacing w:val="-2"/>
        <w:position w:val="1"/>
        <w:sz w:val="17"/>
        <w:szCs w:val="17"/>
      </w:rPr>
      <w:t>34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DEB037"/>
    <w:rsid w:val="65FCCE2D"/>
    <w:rsid w:val="6D9EF16C"/>
    <w:rsid w:val="6F19FD43"/>
    <w:rsid w:val="74FD4CDF"/>
    <w:rsid w:val="7AE9DBA9"/>
    <w:rsid w:val="DF7B8568"/>
    <w:rsid w:val="DFF72E0B"/>
    <w:rsid w:val="EBFB77DA"/>
    <w:rsid w:val="F6E4B614"/>
    <w:rsid w:val="F7372070"/>
    <w:rsid w:val="F7F7A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33"/>
      <w:szCs w:val="33"/>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4</TotalTime>
  <ScaleCrop>false</ScaleCrop>
  <LinksUpToDate>false</LinksUpToDate>
  <CharactersWithSpaces>0</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2026-06-22T10:45:41Z</dcterms:created>
  <dc:creator>Data</dc:creator>
  <cp:lastModifiedBy>彭云龙</cp:lastModifiedBy>
  <dcterms:modified xsi:type="dcterms:W3CDTF">2026-06-22T11:21:08Z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275779E196328E431AA2386AA8ECF529_42</vt:lpwstr>
  </property>
</Properties>
</file>