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7A0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附件8</w:t>
      </w:r>
    </w:p>
    <w:p w14:paraId="589008DF">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2018年保险公司重要服务创新和重大负面事件评分标准</w:t>
      </w:r>
    </w:p>
    <w:p w14:paraId="2DDE477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一、重要服务创新评分标准</w:t>
      </w:r>
    </w:p>
    <w:p w14:paraId="53550D0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保险公司组织开展的在改进服务质量、提高服务效率、提升消费者满意度等方面的重要创新项目，根据实际应用效果评定加0-5分。</w:t>
      </w:r>
    </w:p>
    <w:p w14:paraId="39B9E1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保险公司报送的重要服务创新项目不符合国家法律法规、有关政策规定以及保险监管要求的，该项目不予加分。</w:t>
      </w:r>
    </w:p>
    <w:p w14:paraId="37898B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保险公司重复报送以前年度报送过的重要服务创新项目，原则上不予加分。</w:t>
      </w:r>
    </w:p>
    <w:p w14:paraId="781620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保险公司没有报送组织开展重要服务创新项目相关正式文件资料的、没有报送重要服务创新项目实际应用效果自评估报告的或者提供的证明材料无法充分证实公司自评估实际应用效果的，该项目不予加分。</w:t>
      </w:r>
    </w:p>
    <w:p w14:paraId="3AD1BE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评定的重要服务创新加分项目总数不超过参评保险公司总数的50%。</w:t>
      </w:r>
    </w:p>
    <w:p w14:paraId="6E09E4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同一评价年度，同一保险公司重要服务创新加分总计不超过5分，超过5分的，按5分计算。</w:t>
      </w:r>
    </w:p>
    <w:p w14:paraId="1E40BFE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二、重大负面事件评分标准</w:t>
      </w:r>
    </w:p>
    <w:p w14:paraId="084E33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保险公司因保险服务问题被中央电视台、《人民日报》等全国性主要媒体进行负面报道且对保险业造成恶劣影响的，每发生一次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涉及同一事件的多次报道按一次计算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,根据问题严重程度评定减0-5分。</w:t>
      </w:r>
    </w:p>
    <w:p w14:paraId="5D7CC5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保险公司因经营不规范、处理不及时或措施不到位等原因而引发的重大群体性事件，包括各保监局辖区内发生的50人以上群体性事件和到保监会的5人以上群体上访事件，以及虽未达到上述上访人数，但造成恶劣影响的事件，每发生一次，根据问题严重程度评定减0-5分。</w:t>
      </w:r>
    </w:p>
    <w:p w14:paraId="7BE1543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保险公司没有按要求及时完成服务评价相关工作，影响服务评价工作开展的，根据问题严重程度评定减0-5分。</w:t>
      </w:r>
    </w:p>
    <w:p w14:paraId="3A28C3A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评委会认定的其他保险服务突出问题，根据问题严重程度评定减0-5分。</w:t>
      </w:r>
    </w:p>
    <w:p w14:paraId="17C3D7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同一评价年度，同一保险公司重大负面事件减分总计不超过5分，超过5分的，按5分计算。</w:t>
      </w:r>
    </w:p>
    <w:p w14:paraId="314BCAD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14:paraId="5A9C75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14:paraId="1874B45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9</w:t>
      </w:r>
    </w:p>
    <w:p w14:paraId="5BCD16D9">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2018年保险公司服务评价数据报送情况报告</w:t>
      </w:r>
    </w:p>
    <w:p w14:paraId="48A8C9C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原保监会保险消费者权益保护局：</w:t>
      </w:r>
    </w:p>
    <w:p w14:paraId="17D77C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我公司已于2018年X月X日完成服务评价数据报送。经核对，我公司报送的清单数据和汇总数据准确无误，公司报送的汇总值与服务评价系统计算的指标值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清单汇总值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不存在差异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详见附件《保险公司定量指标结果统计表》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p>
    <w:p w14:paraId="17B39B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如部分数据存在差异，请参照如下表述：经核对，我公司报送的清单数据和汇总数据准确无误，除XX、XX等指标外，其余指标报送的汇总值与服务评价系统计算的指标值不存在差异</w:t>
      </w:r>
      <w:r>
        <w:rPr>
          <w:rFonts w:hint="eastAsia" w:ascii="仿宋_GB2312" w:hAnsi="仿宋_GB2312" w:eastAsia="仿宋_GB2312" w:cs="仿宋_GB2312"/>
          <w:sz w:val="32"/>
          <w:szCs w:val="32"/>
          <w:lang w:eastAsia="zh-CN"/>
        </w:rPr>
        <w:t>）</w:t>
      </w:r>
    </w:p>
    <w:p w14:paraId="390DB1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如保险公司报送的汇总数据中，存在部分数据为“0”、“空”、“nu11”或“——”等特殊情形的，应当在报告中予以逐一说明，相关表述试举例如下：我公司在统计期内未收到承保理赔异议信息，故承保理赔查询异议信息处理时效为“——”</w:t>
      </w:r>
      <w:r>
        <w:rPr>
          <w:rFonts w:hint="eastAsia" w:ascii="仿宋_GB2312" w:hAnsi="仿宋_GB2312" w:eastAsia="仿宋_GB2312" w:cs="仿宋_GB2312"/>
          <w:sz w:val="32"/>
          <w:szCs w:val="32"/>
          <w:lang w:eastAsia="zh-CN"/>
        </w:rPr>
        <w:t>）</w:t>
      </w:r>
    </w:p>
    <w:p w14:paraId="7505CC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如保险公司存在其他可能影响服务评价数据质量的情形，也应在报告中予以说明。</w:t>
      </w:r>
      <w:r>
        <w:rPr>
          <w:rFonts w:hint="eastAsia" w:ascii="仿宋_GB2312" w:hAnsi="仿宋_GB2312" w:eastAsia="仿宋_GB2312" w:cs="仿宋_GB2312"/>
          <w:sz w:val="32"/>
          <w:szCs w:val="32"/>
          <w:lang w:eastAsia="zh-CN"/>
        </w:rPr>
        <w:t>）</w:t>
      </w:r>
    </w:p>
    <w:p w14:paraId="03DEF60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14:paraId="5DA27144">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XXXX保险公司</w:t>
      </w:r>
    </w:p>
    <w:p w14:paraId="02ECE761">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2018年X月XX日</w:t>
      </w:r>
    </w:p>
    <w:p w14:paraId="0B28E3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14:paraId="65BD10E4">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附表：保险公司定量指标结果统计表</w:t>
      </w:r>
    </w:p>
    <w:p w14:paraId="3F7A0167">
      <w:pPr>
        <w:spacing w:before="44"/>
      </w:pPr>
    </w:p>
    <w:tbl>
      <w:tblPr>
        <w:tblStyle w:val="5"/>
        <w:tblW w:w="4997"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826"/>
        <w:gridCol w:w="1744"/>
        <w:gridCol w:w="1867"/>
        <w:gridCol w:w="1439"/>
        <w:gridCol w:w="1439"/>
        <w:gridCol w:w="1445"/>
      </w:tblGrid>
      <w:tr w14:paraId="11B23DC6">
        <w:trPr>
          <w:trHeight w:val="473" w:hRule="atLeast"/>
        </w:trPr>
        <w:tc>
          <w:tcPr>
            <w:tcW w:w="471" w:type="pct"/>
            <w:vAlign w:val="center"/>
          </w:tcPr>
          <w:p w14:paraId="4DC28E96">
            <w:pPr>
              <w:pStyle w:val="6"/>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pacing w:val="7"/>
                <w:sz w:val="24"/>
                <w:szCs w:val="24"/>
              </w:rPr>
              <w:t>序号</w:t>
            </w:r>
          </w:p>
        </w:tc>
        <w:tc>
          <w:tcPr>
            <w:tcW w:w="995" w:type="pct"/>
            <w:vAlign w:val="center"/>
          </w:tcPr>
          <w:p w14:paraId="4090A0DE">
            <w:pPr>
              <w:pStyle w:val="6"/>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pacing w:val="2"/>
                <w:sz w:val="24"/>
                <w:szCs w:val="24"/>
              </w:rPr>
              <w:t>监管辖区代码</w:t>
            </w:r>
          </w:p>
        </w:tc>
        <w:tc>
          <w:tcPr>
            <w:tcW w:w="1065" w:type="pct"/>
            <w:vAlign w:val="center"/>
          </w:tcPr>
          <w:p w14:paraId="4E2A2F68">
            <w:pPr>
              <w:pStyle w:val="6"/>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pacing w:val="2"/>
                <w:sz w:val="24"/>
                <w:szCs w:val="24"/>
              </w:rPr>
              <w:t>监管辖区名称</w:t>
            </w:r>
          </w:p>
        </w:tc>
        <w:tc>
          <w:tcPr>
            <w:tcW w:w="821" w:type="pct"/>
            <w:vAlign w:val="center"/>
          </w:tcPr>
          <w:p w14:paraId="2A77868B">
            <w:pPr>
              <w:pStyle w:val="6"/>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pacing w:val="3"/>
                <w:sz w:val="24"/>
                <w:szCs w:val="24"/>
              </w:rPr>
              <w:t>指标代码</w:t>
            </w:r>
          </w:p>
        </w:tc>
        <w:tc>
          <w:tcPr>
            <w:tcW w:w="821" w:type="pct"/>
            <w:vAlign w:val="center"/>
          </w:tcPr>
          <w:p w14:paraId="60BD1963">
            <w:pPr>
              <w:pStyle w:val="6"/>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pacing w:val="3"/>
                <w:sz w:val="24"/>
                <w:szCs w:val="24"/>
              </w:rPr>
              <w:t>指标名称</w:t>
            </w:r>
          </w:p>
        </w:tc>
        <w:tc>
          <w:tcPr>
            <w:tcW w:w="824" w:type="pct"/>
            <w:vAlign w:val="center"/>
          </w:tcPr>
          <w:p w14:paraId="1915DED3">
            <w:pPr>
              <w:pStyle w:val="6"/>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pacing w:val="-4"/>
                <w:sz w:val="24"/>
                <w:szCs w:val="24"/>
              </w:rPr>
              <w:t>汇总值</w:t>
            </w:r>
          </w:p>
        </w:tc>
      </w:tr>
      <w:tr w14:paraId="45CB3DAA">
        <w:trPr>
          <w:trHeight w:val="319" w:hRule="atLeast"/>
        </w:trPr>
        <w:tc>
          <w:tcPr>
            <w:tcW w:w="471" w:type="pct"/>
            <w:vAlign w:val="center"/>
          </w:tcPr>
          <w:p w14:paraId="3F3ABE7A">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995" w:type="pct"/>
            <w:vAlign w:val="center"/>
          </w:tcPr>
          <w:p w14:paraId="6B076150">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1065" w:type="pct"/>
            <w:vAlign w:val="center"/>
          </w:tcPr>
          <w:p w14:paraId="4E97F0D1">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821" w:type="pct"/>
            <w:vAlign w:val="center"/>
          </w:tcPr>
          <w:p w14:paraId="594FC2B0">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821" w:type="pct"/>
            <w:vAlign w:val="center"/>
          </w:tcPr>
          <w:p w14:paraId="4A487C2A">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824" w:type="pct"/>
            <w:vAlign w:val="center"/>
          </w:tcPr>
          <w:p w14:paraId="41F69D4B">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r>
      <w:tr w14:paraId="5635B4BF">
        <w:trPr>
          <w:trHeight w:val="300" w:hRule="atLeast"/>
        </w:trPr>
        <w:tc>
          <w:tcPr>
            <w:tcW w:w="471" w:type="pct"/>
            <w:vAlign w:val="center"/>
          </w:tcPr>
          <w:p w14:paraId="5C4CF1C7">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995" w:type="pct"/>
            <w:vAlign w:val="center"/>
          </w:tcPr>
          <w:p w14:paraId="6A03A7C3">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1065" w:type="pct"/>
            <w:vAlign w:val="center"/>
          </w:tcPr>
          <w:p w14:paraId="4A16E9F4">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821" w:type="pct"/>
            <w:vAlign w:val="center"/>
          </w:tcPr>
          <w:p w14:paraId="6F0703AF">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821" w:type="pct"/>
            <w:vAlign w:val="center"/>
          </w:tcPr>
          <w:p w14:paraId="7BB56E43">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824" w:type="pct"/>
            <w:vAlign w:val="center"/>
          </w:tcPr>
          <w:p w14:paraId="37217579">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r>
      <w:tr w14:paraId="04FE71B8">
        <w:trPr>
          <w:trHeight w:val="309" w:hRule="atLeast"/>
        </w:trPr>
        <w:tc>
          <w:tcPr>
            <w:tcW w:w="471" w:type="pct"/>
            <w:vAlign w:val="center"/>
          </w:tcPr>
          <w:p w14:paraId="6693ADFF">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995" w:type="pct"/>
            <w:vAlign w:val="center"/>
          </w:tcPr>
          <w:p w14:paraId="37E9A9B0">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1065" w:type="pct"/>
            <w:vAlign w:val="center"/>
          </w:tcPr>
          <w:p w14:paraId="19AC5DC0">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821" w:type="pct"/>
            <w:vAlign w:val="center"/>
          </w:tcPr>
          <w:p w14:paraId="3183D587">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821" w:type="pct"/>
            <w:vAlign w:val="center"/>
          </w:tcPr>
          <w:p w14:paraId="7D1F20E7">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824" w:type="pct"/>
            <w:vAlign w:val="center"/>
          </w:tcPr>
          <w:p w14:paraId="0000FF18">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r>
      <w:tr w14:paraId="1BDA3203">
        <w:trPr>
          <w:trHeight w:val="309" w:hRule="atLeast"/>
        </w:trPr>
        <w:tc>
          <w:tcPr>
            <w:tcW w:w="471" w:type="pct"/>
            <w:vAlign w:val="center"/>
          </w:tcPr>
          <w:p w14:paraId="1C1EE4AA">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995" w:type="pct"/>
            <w:vAlign w:val="center"/>
          </w:tcPr>
          <w:p w14:paraId="2559D317">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1065" w:type="pct"/>
            <w:vAlign w:val="center"/>
          </w:tcPr>
          <w:p w14:paraId="3AAA0EB9">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821" w:type="pct"/>
            <w:vAlign w:val="center"/>
          </w:tcPr>
          <w:p w14:paraId="592BD7C9">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821" w:type="pct"/>
            <w:vAlign w:val="center"/>
          </w:tcPr>
          <w:p w14:paraId="1627EA9C">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824" w:type="pct"/>
            <w:vAlign w:val="center"/>
          </w:tcPr>
          <w:p w14:paraId="6FCC5391">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r>
      <w:tr w14:paraId="64BD8E3D">
        <w:trPr>
          <w:trHeight w:val="310" w:hRule="atLeast"/>
        </w:trPr>
        <w:tc>
          <w:tcPr>
            <w:tcW w:w="471" w:type="pct"/>
            <w:vAlign w:val="center"/>
          </w:tcPr>
          <w:p w14:paraId="702553C1">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995" w:type="pct"/>
            <w:vAlign w:val="center"/>
          </w:tcPr>
          <w:p w14:paraId="35261016">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1065" w:type="pct"/>
            <w:vAlign w:val="center"/>
          </w:tcPr>
          <w:p w14:paraId="7A6FC9A3">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821" w:type="pct"/>
            <w:vAlign w:val="center"/>
          </w:tcPr>
          <w:p w14:paraId="4C9FC3D4">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821" w:type="pct"/>
            <w:vAlign w:val="center"/>
          </w:tcPr>
          <w:p w14:paraId="1FE2CB08">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824" w:type="pct"/>
            <w:vAlign w:val="center"/>
          </w:tcPr>
          <w:p w14:paraId="42CD5E6A">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r>
      <w:tr w14:paraId="16F5B224">
        <w:trPr>
          <w:trHeight w:val="309" w:hRule="atLeast"/>
        </w:trPr>
        <w:tc>
          <w:tcPr>
            <w:tcW w:w="471" w:type="pct"/>
            <w:vAlign w:val="center"/>
          </w:tcPr>
          <w:p w14:paraId="276C4B11">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995" w:type="pct"/>
            <w:vAlign w:val="center"/>
          </w:tcPr>
          <w:p w14:paraId="51556F2E">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1065" w:type="pct"/>
            <w:vAlign w:val="center"/>
          </w:tcPr>
          <w:p w14:paraId="76FA5A06">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821" w:type="pct"/>
            <w:vAlign w:val="center"/>
          </w:tcPr>
          <w:p w14:paraId="05998A94">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821" w:type="pct"/>
            <w:vAlign w:val="center"/>
          </w:tcPr>
          <w:p w14:paraId="49AE5174">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824" w:type="pct"/>
            <w:vAlign w:val="center"/>
          </w:tcPr>
          <w:p w14:paraId="4DD20110">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r>
      <w:tr w14:paraId="2AA85B64">
        <w:trPr>
          <w:trHeight w:val="309" w:hRule="atLeast"/>
        </w:trPr>
        <w:tc>
          <w:tcPr>
            <w:tcW w:w="471" w:type="pct"/>
            <w:vAlign w:val="center"/>
          </w:tcPr>
          <w:p w14:paraId="4C2E76D7">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995" w:type="pct"/>
            <w:vAlign w:val="center"/>
          </w:tcPr>
          <w:p w14:paraId="33576799">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1065" w:type="pct"/>
            <w:vAlign w:val="center"/>
          </w:tcPr>
          <w:p w14:paraId="5A6F4D5F">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821" w:type="pct"/>
            <w:vAlign w:val="center"/>
          </w:tcPr>
          <w:p w14:paraId="05BFEFC3">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821" w:type="pct"/>
            <w:vAlign w:val="center"/>
          </w:tcPr>
          <w:p w14:paraId="3BCC5BD3">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824" w:type="pct"/>
            <w:vAlign w:val="center"/>
          </w:tcPr>
          <w:p w14:paraId="667E37B8">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r>
      <w:tr w14:paraId="272DCEBF">
        <w:trPr>
          <w:trHeight w:val="320" w:hRule="atLeast"/>
        </w:trPr>
        <w:tc>
          <w:tcPr>
            <w:tcW w:w="471" w:type="pct"/>
            <w:vAlign w:val="center"/>
          </w:tcPr>
          <w:p w14:paraId="2E0A3DAF">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995" w:type="pct"/>
            <w:vAlign w:val="center"/>
          </w:tcPr>
          <w:p w14:paraId="013DE8D0">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1065" w:type="pct"/>
            <w:vAlign w:val="center"/>
          </w:tcPr>
          <w:p w14:paraId="7EA47D47">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821" w:type="pct"/>
            <w:vAlign w:val="center"/>
          </w:tcPr>
          <w:p w14:paraId="074E5586">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821" w:type="pct"/>
            <w:vAlign w:val="center"/>
          </w:tcPr>
          <w:p w14:paraId="7F61532F">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824" w:type="pct"/>
            <w:vAlign w:val="center"/>
          </w:tcPr>
          <w:p w14:paraId="35D915B2">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r>
      <w:tr w14:paraId="6EDE1E88">
        <w:trPr>
          <w:trHeight w:val="300" w:hRule="atLeast"/>
        </w:trPr>
        <w:tc>
          <w:tcPr>
            <w:tcW w:w="471" w:type="pct"/>
            <w:vAlign w:val="center"/>
          </w:tcPr>
          <w:p w14:paraId="4438D64D">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995" w:type="pct"/>
            <w:vAlign w:val="center"/>
          </w:tcPr>
          <w:p w14:paraId="545AADC3">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1065" w:type="pct"/>
            <w:vAlign w:val="center"/>
          </w:tcPr>
          <w:p w14:paraId="44AEEDCF">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821" w:type="pct"/>
            <w:vAlign w:val="center"/>
          </w:tcPr>
          <w:p w14:paraId="12A4513B">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821" w:type="pct"/>
            <w:vAlign w:val="center"/>
          </w:tcPr>
          <w:p w14:paraId="6008C531">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824" w:type="pct"/>
            <w:vAlign w:val="center"/>
          </w:tcPr>
          <w:p w14:paraId="27B04E50">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r>
      <w:tr w14:paraId="44226B55">
        <w:trPr>
          <w:trHeight w:val="309" w:hRule="atLeast"/>
        </w:trPr>
        <w:tc>
          <w:tcPr>
            <w:tcW w:w="471" w:type="pct"/>
            <w:vAlign w:val="center"/>
          </w:tcPr>
          <w:p w14:paraId="7DE59C2E">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995" w:type="pct"/>
            <w:vAlign w:val="center"/>
          </w:tcPr>
          <w:p w14:paraId="36984E40">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1065" w:type="pct"/>
            <w:vAlign w:val="center"/>
          </w:tcPr>
          <w:p w14:paraId="1EFE9AA6">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821" w:type="pct"/>
            <w:vAlign w:val="center"/>
          </w:tcPr>
          <w:p w14:paraId="7993C0A8">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821" w:type="pct"/>
            <w:vAlign w:val="center"/>
          </w:tcPr>
          <w:p w14:paraId="56746961">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824" w:type="pct"/>
            <w:vAlign w:val="center"/>
          </w:tcPr>
          <w:p w14:paraId="50148031">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r>
      <w:tr w14:paraId="415B272E">
        <w:trPr>
          <w:trHeight w:val="319" w:hRule="atLeast"/>
        </w:trPr>
        <w:tc>
          <w:tcPr>
            <w:tcW w:w="471" w:type="pct"/>
            <w:vAlign w:val="center"/>
          </w:tcPr>
          <w:p w14:paraId="3C67C51C">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995" w:type="pct"/>
            <w:vAlign w:val="center"/>
          </w:tcPr>
          <w:p w14:paraId="3CD1CAA0">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1065" w:type="pct"/>
            <w:vAlign w:val="center"/>
          </w:tcPr>
          <w:p w14:paraId="63D4E9C4">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821" w:type="pct"/>
            <w:vAlign w:val="center"/>
          </w:tcPr>
          <w:p w14:paraId="0CCD1F1B">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821" w:type="pct"/>
            <w:vAlign w:val="center"/>
          </w:tcPr>
          <w:p w14:paraId="26145DBC">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824" w:type="pct"/>
            <w:vAlign w:val="center"/>
          </w:tcPr>
          <w:p w14:paraId="78194796">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r>
      <w:tr w14:paraId="42466507">
        <w:trPr>
          <w:trHeight w:val="300" w:hRule="atLeast"/>
        </w:trPr>
        <w:tc>
          <w:tcPr>
            <w:tcW w:w="471" w:type="pct"/>
            <w:vAlign w:val="center"/>
          </w:tcPr>
          <w:p w14:paraId="246D2034">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995" w:type="pct"/>
            <w:vAlign w:val="center"/>
          </w:tcPr>
          <w:p w14:paraId="14181B89">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1065" w:type="pct"/>
            <w:vAlign w:val="center"/>
          </w:tcPr>
          <w:p w14:paraId="5FD9670D">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821" w:type="pct"/>
            <w:vAlign w:val="center"/>
          </w:tcPr>
          <w:p w14:paraId="06C99045">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821" w:type="pct"/>
            <w:vAlign w:val="center"/>
          </w:tcPr>
          <w:p w14:paraId="6A7AAF9C">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824" w:type="pct"/>
            <w:vAlign w:val="center"/>
          </w:tcPr>
          <w:p w14:paraId="11BF30B6">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r>
      <w:tr w14:paraId="0D025235">
        <w:trPr>
          <w:trHeight w:val="314" w:hRule="atLeast"/>
        </w:trPr>
        <w:tc>
          <w:tcPr>
            <w:tcW w:w="471" w:type="pct"/>
            <w:vAlign w:val="center"/>
          </w:tcPr>
          <w:p w14:paraId="4FAAD321">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995" w:type="pct"/>
            <w:vAlign w:val="center"/>
          </w:tcPr>
          <w:p w14:paraId="75B54CA6">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1065" w:type="pct"/>
            <w:vAlign w:val="center"/>
          </w:tcPr>
          <w:p w14:paraId="29E7C922">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821" w:type="pct"/>
            <w:vAlign w:val="center"/>
          </w:tcPr>
          <w:p w14:paraId="536058DB">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821" w:type="pct"/>
            <w:vAlign w:val="center"/>
          </w:tcPr>
          <w:p w14:paraId="0C01ED4F">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c>
          <w:tcPr>
            <w:tcW w:w="824" w:type="pct"/>
            <w:vAlign w:val="center"/>
          </w:tcPr>
          <w:p w14:paraId="684CD124">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z w:val="24"/>
                <w:szCs w:val="24"/>
              </w:rPr>
            </w:pPr>
          </w:p>
        </w:tc>
      </w:tr>
    </w:tbl>
    <w:p w14:paraId="5FA19C8B">
      <w:pPr>
        <w:spacing w:line="242" w:lineRule="auto"/>
        <w:rPr>
          <w:rFonts w:ascii="Arial"/>
          <w:sz w:val="24"/>
          <w:szCs w:val="24"/>
        </w:rPr>
      </w:pPr>
    </w:p>
    <w:p w14:paraId="0F813B1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注：1.报告和附表中仅反映总公司的服务评价数据，各地区的细分数据无须涉及。</w:t>
      </w:r>
    </w:p>
    <w:p w14:paraId="504FB400">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2.附表中上报的指标数据应包括具体的指标值及其对应的分子分母。</w:t>
      </w:r>
    </w:p>
    <w:p w14:paraId="2B6E598D">
      <w:pPr>
        <w:spacing w:line="222" w:lineRule="auto"/>
        <w:rPr>
          <w:sz w:val="26"/>
          <w:szCs w:val="26"/>
        </w:rPr>
        <w:sectPr>
          <w:headerReference r:id="rId3" w:type="default"/>
          <w:footerReference r:id="rId4" w:type="default"/>
          <w:pgSz w:w="11480" w:h="16760"/>
          <w:pgMar w:top="400" w:right="1525" w:bottom="1407" w:left="1200" w:header="0" w:footer="1203" w:gutter="0"/>
          <w:cols w:space="720" w:num="1"/>
        </w:sectPr>
      </w:pPr>
    </w:p>
    <w:p w14:paraId="440C9DC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附件10</w:t>
      </w:r>
    </w:p>
    <w:p w14:paraId="048FE3B0">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黑体" w:hAnsi="黑体" w:eastAsia="黑体" w:cs="黑体"/>
          <w:sz w:val="32"/>
          <w:szCs w:val="32"/>
          <w:lang w:val="en-US" w:eastAsia="zh-CN"/>
        </w:rPr>
      </w:pPr>
      <w:bookmarkStart w:id="0" w:name="_GoBack"/>
      <w:r>
        <w:rPr>
          <w:rFonts w:hint="eastAsia" w:ascii="黑体" w:hAnsi="黑体" w:eastAsia="黑体" w:cs="黑体"/>
          <w:sz w:val="32"/>
          <w:szCs w:val="32"/>
          <w:lang w:val="en-US" w:eastAsia="zh-CN"/>
        </w:rPr>
        <w:t>2018年保险公司服务评价联络人名单</w:t>
      </w:r>
    </w:p>
    <w:p w14:paraId="23442CEF">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（评委会成员单位和各保监局报送）</w:t>
      </w:r>
    </w:p>
    <w:bookmarkEnd w:id="0"/>
    <w:p w14:paraId="172B12F7">
      <w:pPr>
        <w:pStyle w:val="2"/>
        <w:spacing w:before="104" w:line="221" w:lineRule="auto"/>
        <w:ind w:left="55"/>
      </w:pPr>
      <w:r>
        <w:rPr>
          <w:rFonts w:hint="eastAsia" w:ascii="仿宋_GB2312" w:hAnsi="仿宋_GB2312" w:eastAsia="仿宋_GB2312" w:cs="仿宋_GB2312"/>
          <w:kern w:val="2"/>
          <w:sz w:val="32"/>
          <w:szCs w:val="32"/>
          <w:lang w:val="en-US" w:eastAsia="zh-CN" w:bidi="ar-SA"/>
        </w:rPr>
        <w:t>单位（部门）名称（公章）:</w:t>
      </w:r>
    </w:p>
    <w:tbl>
      <w:tblPr>
        <w:tblStyle w:val="5"/>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562"/>
        <w:gridCol w:w="1565"/>
        <w:gridCol w:w="1681"/>
        <w:gridCol w:w="1696"/>
        <w:gridCol w:w="1809"/>
      </w:tblGrid>
      <w:tr w14:paraId="6713F955">
        <w:trPr>
          <w:trHeight w:val="610" w:hRule="atLeast"/>
        </w:trPr>
        <w:tc>
          <w:tcPr>
            <w:tcW w:w="939" w:type="pct"/>
            <w:vAlign w:val="center"/>
          </w:tcPr>
          <w:p w14:paraId="52304EE8">
            <w:pPr>
              <w:pStyle w:val="6"/>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pacing w:val="7"/>
                <w:sz w:val="24"/>
                <w:szCs w:val="24"/>
              </w:rPr>
            </w:pPr>
          </w:p>
        </w:tc>
        <w:tc>
          <w:tcPr>
            <w:tcW w:w="941" w:type="pct"/>
            <w:vAlign w:val="center"/>
          </w:tcPr>
          <w:p w14:paraId="12D0766C">
            <w:pPr>
              <w:pStyle w:val="6"/>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pacing w:val="7"/>
                <w:sz w:val="24"/>
                <w:szCs w:val="24"/>
              </w:rPr>
            </w:pPr>
            <w:r>
              <w:rPr>
                <w:rFonts w:hint="eastAsia" w:ascii="仿宋_GB2312" w:hAnsi="仿宋_GB2312" w:eastAsia="仿宋_GB2312" w:cs="仿宋_GB2312"/>
                <w:color w:val="auto"/>
                <w:spacing w:val="7"/>
                <w:sz w:val="24"/>
                <w:szCs w:val="24"/>
              </w:rPr>
              <w:t>姓名</w:t>
            </w:r>
          </w:p>
        </w:tc>
        <w:tc>
          <w:tcPr>
            <w:tcW w:w="1011" w:type="pct"/>
            <w:vAlign w:val="center"/>
          </w:tcPr>
          <w:p w14:paraId="1D0CCBE5">
            <w:pPr>
              <w:pStyle w:val="6"/>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pacing w:val="7"/>
                <w:sz w:val="24"/>
                <w:szCs w:val="24"/>
              </w:rPr>
            </w:pPr>
            <w:r>
              <w:rPr>
                <w:rFonts w:hint="eastAsia" w:ascii="仿宋_GB2312" w:hAnsi="仿宋_GB2312" w:eastAsia="仿宋_GB2312" w:cs="仿宋_GB2312"/>
                <w:color w:val="auto"/>
                <w:spacing w:val="7"/>
                <w:sz w:val="24"/>
                <w:szCs w:val="24"/>
              </w:rPr>
              <w:t>部门</w:t>
            </w:r>
          </w:p>
        </w:tc>
        <w:tc>
          <w:tcPr>
            <w:tcW w:w="1020" w:type="pct"/>
            <w:vAlign w:val="center"/>
          </w:tcPr>
          <w:p w14:paraId="496EAE49">
            <w:pPr>
              <w:pStyle w:val="6"/>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pacing w:val="7"/>
                <w:sz w:val="24"/>
                <w:szCs w:val="24"/>
              </w:rPr>
            </w:pPr>
            <w:r>
              <w:rPr>
                <w:rFonts w:hint="eastAsia" w:ascii="仿宋_GB2312" w:hAnsi="仿宋_GB2312" w:eastAsia="仿宋_GB2312" w:cs="仿宋_GB2312"/>
                <w:color w:val="auto"/>
                <w:spacing w:val="7"/>
                <w:sz w:val="24"/>
                <w:szCs w:val="24"/>
              </w:rPr>
              <w:t>职务</w:t>
            </w:r>
          </w:p>
        </w:tc>
        <w:tc>
          <w:tcPr>
            <w:tcW w:w="1087" w:type="pct"/>
            <w:vAlign w:val="center"/>
          </w:tcPr>
          <w:p w14:paraId="7B885322">
            <w:pPr>
              <w:pStyle w:val="6"/>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pacing w:val="7"/>
                <w:sz w:val="24"/>
                <w:szCs w:val="24"/>
              </w:rPr>
            </w:pPr>
            <w:r>
              <w:rPr>
                <w:rFonts w:hint="eastAsia" w:ascii="仿宋_GB2312" w:hAnsi="仿宋_GB2312" w:eastAsia="仿宋_GB2312" w:cs="仿宋_GB2312"/>
                <w:color w:val="auto"/>
                <w:spacing w:val="7"/>
                <w:sz w:val="24"/>
                <w:szCs w:val="24"/>
              </w:rPr>
              <w:t>电话</w:t>
            </w:r>
          </w:p>
        </w:tc>
      </w:tr>
      <w:tr w14:paraId="37D16898">
        <w:trPr>
          <w:trHeight w:val="630" w:hRule="atLeast"/>
        </w:trPr>
        <w:tc>
          <w:tcPr>
            <w:tcW w:w="939" w:type="pct"/>
            <w:vAlign w:val="center"/>
          </w:tcPr>
          <w:p w14:paraId="3975FC0B">
            <w:pPr>
              <w:pStyle w:val="6"/>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pacing w:val="7"/>
                <w:sz w:val="24"/>
                <w:szCs w:val="24"/>
              </w:rPr>
            </w:pPr>
            <w:r>
              <w:rPr>
                <w:rFonts w:hint="eastAsia" w:ascii="仿宋_GB2312" w:hAnsi="仿宋_GB2312" w:eastAsia="仿宋_GB2312" w:cs="仿宋_GB2312"/>
                <w:color w:val="auto"/>
                <w:spacing w:val="7"/>
                <w:sz w:val="24"/>
                <w:szCs w:val="24"/>
              </w:rPr>
              <w:t>联络人</w:t>
            </w:r>
          </w:p>
        </w:tc>
        <w:tc>
          <w:tcPr>
            <w:tcW w:w="941" w:type="pct"/>
            <w:vAlign w:val="center"/>
          </w:tcPr>
          <w:p w14:paraId="58988F2E">
            <w:pPr>
              <w:pStyle w:val="6"/>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pacing w:val="7"/>
                <w:sz w:val="24"/>
                <w:szCs w:val="24"/>
              </w:rPr>
            </w:pPr>
          </w:p>
        </w:tc>
        <w:tc>
          <w:tcPr>
            <w:tcW w:w="1011" w:type="pct"/>
            <w:vAlign w:val="center"/>
          </w:tcPr>
          <w:p w14:paraId="3989D7B6">
            <w:pPr>
              <w:pStyle w:val="6"/>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pacing w:val="7"/>
                <w:sz w:val="24"/>
                <w:szCs w:val="24"/>
              </w:rPr>
            </w:pPr>
          </w:p>
        </w:tc>
        <w:tc>
          <w:tcPr>
            <w:tcW w:w="1020" w:type="pct"/>
            <w:vAlign w:val="center"/>
          </w:tcPr>
          <w:p w14:paraId="1607D4D2">
            <w:pPr>
              <w:pStyle w:val="6"/>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pacing w:val="7"/>
                <w:sz w:val="24"/>
                <w:szCs w:val="24"/>
              </w:rPr>
            </w:pPr>
          </w:p>
        </w:tc>
        <w:tc>
          <w:tcPr>
            <w:tcW w:w="1087" w:type="pct"/>
            <w:vAlign w:val="center"/>
          </w:tcPr>
          <w:p w14:paraId="74B0347D">
            <w:pPr>
              <w:pStyle w:val="6"/>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pacing w:val="7"/>
                <w:sz w:val="24"/>
                <w:szCs w:val="24"/>
              </w:rPr>
            </w:pPr>
          </w:p>
        </w:tc>
      </w:tr>
    </w:tbl>
    <w:p w14:paraId="5D4595C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14:paraId="639039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14:paraId="6F9769F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附件11</w:t>
      </w:r>
    </w:p>
    <w:p w14:paraId="18C100DC">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2018年保险公司服务评价负责人及联络人名单</w:t>
      </w:r>
    </w:p>
    <w:p w14:paraId="00BF28C1">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w:t>
      </w:r>
      <w:r>
        <w:rPr>
          <w:rFonts w:hint="eastAsia" w:ascii="黑体" w:hAnsi="黑体" w:eastAsia="黑体" w:cs="黑体"/>
          <w:sz w:val="32"/>
          <w:szCs w:val="32"/>
        </w:rPr>
        <w:t>保险公司报送</w:t>
      </w:r>
      <w:r>
        <w:rPr>
          <w:rFonts w:hint="eastAsia" w:ascii="黑体" w:hAnsi="黑体" w:eastAsia="黑体" w:cs="黑体"/>
          <w:sz w:val="32"/>
          <w:szCs w:val="32"/>
          <w:lang w:eastAsia="zh-CN"/>
        </w:rPr>
        <w:t>）</w:t>
      </w:r>
    </w:p>
    <w:p w14:paraId="2194566C">
      <w:pPr>
        <w:pStyle w:val="2"/>
        <w:spacing w:before="104" w:line="221" w:lineRule="auto"/>
        <w:ind w:left="55"/>
      </w:pPr>
      <w:r>
        <w:rPr>
          <w:rFonts w:hint="eastAsia" w:ascii="仿宋_GB2312" w:hAnsi="仿宋_GB2312" w:eastAsia="仿宋_GB2312" w:cs="仿宋_GB2312"/>
          <w:kern w:val="2"/>
          <w:sz w:val="32"/>
          <w:szCs w:val="32"/>
          <w:lang w:val="en-US" w:eastAsia="zh-CN" w:bidi="ar-SA"/>
        </w:rPr>
        <w:t>单位名称（公章）:</w:t>
      </w:r>
    </w:p>
    <w:tbl>
      <w:tblPr>
        <w:tblStyle w:val="5"/>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912"/>
        <w:gridCol w:w="1097"/>
        <w:gridCol w:w="1103"/>
        <w:gridCol w:w="1098"/>
        <w:gridCol w:w="1187"/>
        <w:gridCol w:w="1271"/>
        <w:gridCol w:w="1645"/>
      </w:tblGrid>
      <w:tr w14:paraId="5823C82B">
        <w:trPr>
          <w:trHeight w:val="632" w:hRule="atLeast"/>
        </w:trPr>
        <w:tc>
          <w:tcPr>
            <w:tcW w:w="549" w:type="pct"/>
            <w:vAlign w:val="center"/>
          </w:tcPr>
          <w:p w14:paraId="4FFEAF4C">
            <w:pPr>
              <w:pStyle w:val="6"/>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pacing w:val="7"/>
                <w:sz w:val="24"/>
                <w:szCs w:val="24"/>
              </w:rPr>
            </w:pPr>
          </w:p>
        </w:tc>
        <w:tc>
          <w:tcPr>
            <w:tcW w:w="660" w:type="pct"/>
            <w:vAlign w:val="center"/>
          </w:tcPr>
          <w:p w14:paraId="1E135572">
            <w:pPr>
              <w:pStyle w:val="6"/>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pacing w:val="7"/>
                <w:sz w:val="24"/>
                <w:szCs w:val="24"/>
              </w:rPr>
            </w:pPr>
            <w:r>
              <w:rPr>
                <w:rFonts w:hint="eastAsia" w:ascii="仿宋_GB2312" w:hAnsi="仿宋_GB2312" w:eastAsia="仿宋_GB2312" w:cs="仿宋_GB2312"/>
                <w:color w:val="auto"/>
                <w:spacing w:val="7"/>
                <w:sz w:val="24"/>
                <w:szCs w:val="24"/>
              </w:rPr>
              <w:t>姓名</w:t>
            </w:r>
          </w:p>
        </w:tc>
        <w:tc>
          <w:tcPr>
            <w:tcW w:w="663" w:type="pct"/>
            <w:vAlign w:val="center"/>
          </w:tcPr>
          <w:p w14:paraId="61DB3A99">
            <w:pPr>
              <w:pStyle w:val="6"/>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pacing w:val="7"/>
                <w:sz w:val="24"/>
                <w:szCs w:val="24"/>
              </w:rPr>
            </w:pPr>
            <w:r>
              <w:rPr>
                <w:rFonts w:hint="eastAsia" w:ascii="仿宋_GB2312" w:hAnsi="仿宋_GB2312" w:eastAsia="仿宋_GB2312" w:cs="仿宋_GB2312"/>
                <w:color w:val="auto"/>
                <w:spacing w:val="7"/>
                <w:sz w:val="24"/>
                <w:szCs w:val="24"/>
              </w:rPr>
              <w:t>部门</w:t>
            </w:r>
          </w:p>
        </w:tc>
        <w:tc>
          <w:tcPr>
            <w:tcW w:w="660" w:type="pct"/>
            <w:vAlign w:val="center"/>
          </w:tcPr>
          <w:p w14:paraId="66B9ADD2">
            <w:pPr>
              <w:pStyle w:val="6"/>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pacing w:val="7"/>
                <w:sz w:val="24"/>
                <w:szCs w:val="24"/>
              </w:rPr>
            </w:pPr>
            <w:r>
              <w:rPr>
                <w:rFonts w:hint="eastAsia" w:ascii="仿宋_GB2312" w:hAnsi="仿宋_GB2312" w:eastAsia="仿宋_GB2312" w:cs="仿宋_GB2312"/>
                <w:color w:val="auto"/>
                <w:spacing w:val="7"/>
                <w:sz w:val="24"/>
                <w:szCs w:val="24"/>
              </w:rPr>
              <w:t>职务</w:t>
            </w:r>
          </w:p>
        </w:tc>
        <w:tc>
          <w:tcPr>
            <w:tcW w:w="714" w:type="pct"/>
            <w:vAlign w:val="center"/>
          </w:tcPr>
          <w:p w14:paraId="60EA5AB1">
            <w:pPr>
              <w:pStyle w:val="6"/>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pacing w:val="7"/>
                <w:sz w:val="24"/>
                <w:szCs w:val="24"/>
              </w:rPr>
            </w:pPr>
            <w:r>
              <w:rPr>
                <w:rFonts w:hint="eastAsia" w:ascii="仿宋_GB2312" w:hAnsi="仿宋_GB2312" w:eastAsia="仿宋_GB2312" w:cs="仿宋_GB2312"/>
                <w:color w:val="auto"/>
                <w:spacing w:val="7"/>
                <w:sz w:val="24"/>
                <w:szCs w:val="24"/>
              </w:rPr>
              <w:t>电话</w:t>
            </w:r>
          </w:p>
        </w:tc>
        <w:tc>
          <w:tcPr>
            <w:tcW w:w="764" w:type="pct"/>
            <w:vAlign w:val="center"/>
          </w:tcPr>
          <w:p w14:paraId="46C8342D">
            <w:pPr>
              <w:pStyle w:val="6"/>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pacing w:val="7"/>
                <w:sz w:val="24"/>
                <w:szCs w:val="24"/>
              </w:rPr>
            </w:pPr>
            <w:r>
              <w:rPr>
                <w:rFonts w:hint="eastAsia" w:ascii="仿宋_GB2312" w:hAnsi="仿宋_GB2312" w:eastAsia="仿宋_GB2312" w:cs="仿宋_GB2312"/>
                <w:color w:val="auto"/>
                <w:spacing w:val="7"/>
                <w:sz w:val="24"/>
                <w:szCs w:val="24"/>
              </w:rPr>
              <w:t>手机</w:t>
            </w:r>
          </w:p>
        </w:tc>
        <w:tc>
          <w:tcPr>
            <w:tcW w:w="986" w:type="pct"/>
            <w:vAlign w:val="center"/>
          </w:tcPr>
          <w:p w14:paraId="18746D78">
            <w:pPr>
              <w:pStyle w:val="6"/>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pacing w:val="7"/>
                <w:sz w:val="24"/>
                <w:szCs w:val="24"/>
              </w:rPr>
            </w:pPr>
            <w:r>
              <w:rPr>
                <w:rFonts w:hint="eastAsia" w:ascii="仿宋_GB2312" w:hAnsi="仿宋_GB2312" w:eastAsia="仿宋_GB2312" w:cs="仿宋_GB2312"/>
                <w:color w:val="auto"/>
                <w:spacing w:val="7"/>
                <w:sz w:val="24"/>
                <w:szCs w:val="24"/>
              </w:rPr>
              <w:t>邮箱</w:t>
            </w:r>
          </w:p>
        </w:tc>
      </w:tr>
      <w:tr w14:paraId="78F0C9F3">
        <w:trPr>
          <w:trHeight w:val="598" w:hRule="atLeast"/>
        </w:trPr>
        <w:tc>
          <w:tcPr>
            <w:tcW w:w="549" w:type="pct"/>
            <w:vAlign w:val="center"/>
          </w:tcPr>
          <w:p w14:paraId="3B49EFB8">
            <w:pPr>
              <w:pStyle w:val="6"/>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pacing w:val="7"/>
                <w:sz w:val="24"/>
                <w:szCs w:val="24"/>
              </w:rPr>
            </w:pPr>
            <w:r>
              <w:rPr>
                <w:rFonts w:hint="eastAsia" w:ascii="仿宋_GB2312" w:hAnsi="仿宋_GB2312" w:eastAsia="仿宋_GB2312" w:cs="仿宋_GB2312"/>
                <w:color w:val="auto"/>
                <w:spacing w:val="7"/>
                <w:sz w:val="24"/>
                <w:szCs w:val="24"/>
              </w:rPr>
              <w:t>负责人</w:t>
            </w:r>
          </w:p>
        </w:tc>
        <w:tc>
          <w:tcPr>
            <w:tcW w:w="660" w:type="pct"/>
            <w:vAlign w:val="center"/>
          </w:tcPr>
          <w:p w14:paraId="37F3C8CB">
            <w:pPr>
              <w:pStyle w:val="6"/>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pacing w:val="7"/>
                <w:sz w:val="24"/>
                <w:szCs w:val="24"/>
              </w:rPr>
            </w:pPr>
          </w:p>
        </w:tc>
        <w:tc>
          <w:tcPr>
            <w:tcW w:w="663" w:type="pct"/>
            <w:vAlign w:val="center"/>
          </w:tcPr>
          <w:p w14:paraId="2B160712">
            <w:pPr>
              <w:pStyle w:val="6"/>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pacing w:val="7"/>
                <w:sz w:val="24"/>
                <w:szCs w:val="24"/>
              </w:rPr>
            </w:pPr>
          </w:p>
        </w:tc>
        <w:tc>
          <w:tcPr>
            <w:tcW w:w="660" w:type="pct"/>
            <w:vAlign w:val="center"/>
          </w:tcPr>
          <w:p w14:paraId="01C84A8F">
            <w:pPr>
              <w:pStyle w:val="6"/>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pacing w:val="7"/>
                <w:sz w:val="24"/>
                <w:szCs w:val="24"/>
              </w:rPr>
            </w:pPr>
          </w:p>
        </w:tc>
        <w:tc>
          <w:tcPr>
            <w:tcW w:w="714" w:type="pct"/>
            <w:vAlign w:val="center"/>
          </w:tcPr>
          <w:p w14:paraId="58BC4E00">
            <w:pPr>
              <w:pStyle w:val="6"/>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pacing w:val="7"/>
                <w:sz w:val="24"/>
                <w:szCs w:val="24"/>
              </w:rPr>
            </w:pPr>
          </w:p>
        </w:tc>
        <w:tc>
          <w:tcPr>
            <w:tcW w:w="764" w:type="pct"/>
            <w:vAlign w:val="center"/>
          </w:tcPr>
          <w:p w14:paraId="4B5DE70F">
            <w:pPr>
              <w:pStyle w:val="6"/>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pacing w:val="7"/>
                <w:sz w:val="24"/>
                <w:szCs w:val="24"/>
              </w:rPr>
            </w:pPr>
          </w:p>
        </w:tc>
        <w:tc>
          <w:tcPr>
            <w:tcW w:w="986" w:type="pct"/>
            <w:vAlign w:val="center"/>
          </w:tcPr>
          <w:p w14:paraId="43C6FEC5">
            <w:pPr>
              <w:pStyle w:val="6"/>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pacing w:val="7"/>
                <w:sz w:val="24"/>
                <w:szCs w:val="24"/>
              </w:rPr>
            </w:pPr>
          </w:p>
        </w:tc>
      </w:tr>
      <w:tr w14:paraId="75995234">
        <w:trPr>
          <w:trHeight w:val="628" w:hRule="atLeast"/>
        </w:trPr>
        <w:tc>
          <w:tcPr>
            <w:tcW w:w="549" w:type="pct"/>
            <w:vAlign w:val="center"/>
          </w:tcPr>
          <w:p w14:paraId="691F222F">
            <w:pPr>
              <w:pStyle w:val="6"/>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pacing w:val="7"/>
                <w:sz w:val="24"/>
                <w:szCs w:val="24"/>
              </w:rPr>
            </w:pPr>
            <w:r>
              <w:rPr>
                <w:rFonts w:hint="eastAsia" w:ascii="仿宋_GB2312" w:hAnsi="仿宋_GB2312" w:eastAsia="仿宋_GB2312" w:cs="仿宋_GB2312"/>
                <w:color w:val="auto"/>
                <w:spacing w:val="7"/>
                <w:sz w:val="24"/>
                <w:szCs w:val="24"/>
              </w:rPr>
              <w:t>联络人</w:t>
            </w:r>
          </w:p>
        </w:tc>
        <w:tc>
          <w:tcPr>
            <w:tcW w:w="660" w:type="pct"/>
            <w:vAlign w:val="center"/>
          </w:tcPr>
          <w:p w14:paraId="40FDEFA6">
            <w:pPr>
              <w:pStyle w:val="6"/>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pacing w:val="7"/>
                <w:sz w:val="24"/>
                <w:szCs w:val="24"/>
              </w:rPr>
            </w:pPr>
          </w:p>
        </w:tc>
        <w:tc>
          <w:tcPr>
            <w:tcW w:w="663" w:type="pct"/>
            <w:vAlign w:val="center"/>
          </w:tcPr>
          <w:p w14:paraId="769AFF78">
            <w:pPr>
              <w:pStyle w:val="6"/>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pacing w:val="7"/>
                <w:sz w:val="24"/>
                <w:szCs w:val="24"/>
              </w:rPr>
            </w:pPr>
          </w:p>
        </w:tc>
        <w:tc>
          <w:tcPr>
            <w:tcW w:w="660" w:type="pct"/>
            <w:vAlign w:val="center"/>
          </w:tcPr>
          <w:p w14:paraId="1A3F0DC7">
            <w:pPr>
              <w:pStyle w:val="6"/>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pacing w:val="7"/>
                <w:sz w:val="24"/>
                <w:szCs w:val="24"/>
              </w:rPr>
            </w:pPr>
          </w:p>
        </w:tc>
        <w:tc>
          <w:tcPr>
            <w:tcW w:w="714" w:type="pct"/>
            <w:vAlign w:val="center"/>
          </w:tcPr>
          <w:p w14:paraId="09A1C8FE">
            <w:pPr>
              <w:pStyle w:val="6"/>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pacing w:val="7"/>
                <w:sz w:val="24"/>
                <w:szCs w:val="24"/>
              </w:rPr>
            </w:pPr>
          </w:p>
        </w:tc>
        <w:tc>
          <w:tcPr>
            <w:tcW w:w="764" w:type="pct"/>
            <w:vAlign w:val="center"/>
          </w:tcPr>
          <w:p w14:paraId="3F201EB5">
            <w:pPr>
              <w:pStyle w:val="6"/>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pacing w:val="7"/>
                <w:sz w:val="24"/>
                <w:szCs w:val="24"/>
              </w:rPr>
            </w:pPr>
          </w:p>
        </w:tc>
        <w:tc>
          <w:tcPr>
            <w:tcW w:w="986" w:type="pct"/>
            <w:vAlign w:val="center"/>
          </w:tcPr>
          <w:p w14:paraId="72897E1E">
            <w:pPr>
              <w:pStyle w:val="6"/>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pacing w:val="7"/>
                <w:sz w:val="24"/>
                <w:szCs w:val="24"/>
              </w:rPr>
            </w:pPr>
          </w:p>
        </w:tc>
      </w:tr>
      <w:tr w14:paraId="74153494">
        <w:trPr>
          <w:trHeight w:val="1271" w:hRule="atLeast"/>
        </w:trPr>
        <w:tc>
          <w:tcPr>
            <w:tcW w:w="549" w:type="pct"/>
            <w:vAlign w:val="center"/>
          </w:tcPr>
          <w:p w14:paraId="1090AEC3">
            <w:pPr>
              <w:pStyle w:val="6"/>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仿宋_GB2312" w:hAnsi="仿宋_GB2312" w:eastAsia="仿宋_GB2312" w:cs="仿宋_GB2312"/>
                <w:color w:val="auto"/>
                <w:spacing w:val="7"/>
                <w:sz w:val="24"/>
                <w:szCs w:val="24"/>
              </w:rPr>
            </w:pPr>
            <w:r>
              <w:rPr>
                <w:rFonts w:hint="eastAsia" w:ascii="仿宋_GB2312" w:hAnsi="仿宋_GB2312" w:eastAsia="仿宋_GB2312" w:cs="仿宋_GB2312"/>
                <w:color w:val="auto"/>
                <w:spacing w:val="7"/>
                <w:sz w:val="24"/>
                <w:szCs w:val="24"/>
              </w:rPr>
              <w:t>备注</w:t>
            </w:r>
          </w:p>
        </w:tc>
        <w:tc>
          <w:tcPr>
            <w:tcW w:w="4450" w:type="pct"/>
            <w:gridSpan w:val="6"/>
            <w:vAlign w:val="center"/>
          </w:tcPr>
          <w:p w14:paraId="3B0EFADC">
            <w:pPr>
              <w:pStyle w:val="6"/>
              <w:keepNext w:val="0"/>
              <w:keepLines w:val="0"/>
              <w:pageBreakBefore w:val="0"/>
              <w:widowControl w:val="0"/>
              <w:kinsoku/>
              <w:wordWrap/>
              <w:overflowPunct/>
              <w:topLinePunct w:val="0"/>
              <w:autoSpaceDE/>
              <w:autoSpaceDN/>
              <w:bidi w:val="0"/>
              <w:adjustRightInd w:val="0"/>
              <w:snapToGrid w:val="0"/>
              <w:spacing w:line="240" w:lineRule="auto"/>
              <w:ind w:left="0"/>
              <w:jc w:val="left"/>
              <w:textAlignment w:val="auto"/>
              <w:rPr>
                <w:rFonts w:hint="eastAsia" w:ascii="仿宋_GB2312" w:hAnsi="仿宋_GB2312" w:eastAsia="仿宋_GB2312" w:cs="仿宋_GB2312"/>
                <w:color w:val="auto"/>
                <w:spacing w:val="7"/>
                <w:sz w:val="24"/>
                <w:szCs w:val="24"/>
              </w:rPr>
            </w:pPr>
            <w:r>
              <w:rPr>
                <w:rFonts w:hint="eastAsia" w:ascii="仿宋_GB2312" w:hAnsi="仿宋_GB2312" w:eastAsia="仿宋_GB2312" w:cs="仿宋_GB2312"/>
                <w:color w:val="auto"/>
                <w:spacing w:val="7"/>
                <w:sz w:val="24"/>
                <w:szCs w:val="24"/>
              </w:rPr>
              <w:t>1.负责人指各保险公司负责服务评价工作的公司主要领导。</w:t>
            </w:r>
          </w:p>
          <w:p w14:paraId="6ADF8F3B">
            <w:pPr>
              <w:pStyle w:val="6"/>
              <w:keepNext w:val="0"/>
              <w:keepLines w:val="0"/>
              <w:pageBreakBefore w:val="0"/>
              <w:widowControl w:val="0"/>
              <w:kinsoku/>
              <w:wordWrap/>
              <w:overflowPunct/>
              <w:topLinePunct w:val="0"/>
              <w:autoSpaceDE/>
              <w:autoSpaceDN/>
              <w:bidi w:val="0"/>
              <w:adjustRightInd w:val="0"/>
              <w:snapToGrid w:val="0"/>
              <w:spacing w:line="240" w:lineRule="auto"/>
              <w:ind w:left="0"/>
              <w:jc w:val="left"/>
              <w:textAlignment w:val="auto"/>
              <w:rPr>
                <w:rFonts w:hint="eastAsia" w:ascii="仿宋_GB2312" w:hAnsi="仿宋_GB2312" w:eastAsia="仿宋_GB2312" w:cs="仿宋_GB2312"/>
                <w:color w:val="auto"/>
                <w:spacing w:val="7"/>
                <w:sz w:val="24"/>
                <w:szCs w:val="24"/>
              </w:rPr>
            </w:pPr>
            <w:r>
              <w:rPr>
                <w:rFonts w:hint="eastAsia" w:ascii="仿宋_GB2312" w:hAnsi="仿宋_GB2312" w:eastAsia="仿宋_GB2312" w:cs="仿宋_GB2312"/>
                <w:color w:val="auto"/>
                <w:spacing w:val="7"/>
                <w:sz w:val="24"/>
                <w:szCs w:val="24"/>
              </w:rPr>
              <w:t>2.邮箱必须是官方邮箱。</w:t>
            </w:r>
          </w:p>
          <w:p w14:paraId="164EDD54">
            <w:pPr>
              <w:pStyle w:val="6"/>
              <w:keepNext w:val="0"/>
              <w:keepLines w:val="0"/>
              <w:pageBreakBefore w:val="0"/>
              <w:widowControl w:val="0"/>
              <w:kinsoku/>
              <w:wordWrap/>
              <w:overflowPunct/>
              <w:topLinePunct w:val="0"/>
              <w:autoSpaceDE/>
              <w:autoSpaceDN/>
              <w:bidi w:val="0"/>
              <w:adjustRightInd w:val="0"/>
              <w:snapToGrid w:val="0"/>
              <w:spacing w:line="240" w:lineRule="auto"/>
              <w:ind w:left="0"/>
              <w:jc w:val="left"/>
              <w:textAlignment w:val="auto"/>
              <w:rPr>
                <w:rFonts w:hint="eastAsia" w:ascii="仿宋_GB2312" w:hAnsi="仿宋_GB2312" w:eastAsia="仿宋_GB2312" w:cs="仿宋_GB2312"/>
                <w:color w:val="auto"/>
                <w:spacing w:val="7"/>
                <w:sz w:val="24"/>
                <w:szCs w:val="24"/>
              </w:rPr>
            </w:pPr>
            <w:r>
              <w:rPr>
                <w:rFonts w:hint="eastAsia" w:ascii="仿宋_GB2312" w:hAnsi="仿宋_GB2312" w:eastAsia="仿宋_GB2312" w:cs="仿宋_GB2312"/>
                <w:color w:val="auto"/>
                <w:spacing w:val="7"/>
                <w:sz w:val="24"/>
                <w:szCs w:val="24"/>
              </w:rPr>
              <w:t>3.各保险公司应于2018年7月10日前将该名单</w:t>
            </w:r>
            <w:r>
              <w:rPr>
                <w:rFonts w:hint="eastAsia" w:ascii="仿宋_GB2312" w:hAnsi="仿宋_GB2312" w:eastAsia="仿宋_GB2312" w:cs="仿宋_GB2312"/>
                <w:color w:val="auto"/>
                <w:spacing w:val="7"/>
                <w:sz w:val="24"/>
                <w:szCs w:val="24"/>
                <w:lang w:eastAsia="zh-CN"/>
              </w:rPr>
              <w:t>（</w:t>
            </w:r>
            <w:r>
              <w:rPr>
                <w:rFonts w:hint="eastAsia" w:ascii="仿宋_GB2312" w:hAnsi="仿宋_GB2312" w:eastAsia="仿宋_GB2312" w:cs="仿宋_GB2312"/>
                <w:color w:val="auto"/>
                <w:spacing w:val="7"/>
                <w:sz w:val="24"/>
                <w:szCs w:val="24"/>
              </w:rPr>
              <w:t>将加盖公章的正式文件和电子文档统一打包成一个文件夹，以公司名称命名</w:t>
            </w:r>
            <w:r>
              <w:rPr>
                <w:rFonts w:hint="eastAsia" w:ascii="仿宋_GB2312" w:hAnsi="仿宋_GB2312" w:eastAsia="仿宋_GB2312" w:cs="仿宋_GB2312"/>
                <w:color w:val="auto"/>
                <w:spacing w:val="7"/>
                <w:sz w:val="24"/>
                <w:szCs w:val="24"/>
                <w:lang w:eastAsia="zh-CN"/>
              </w:rPr>
              <w:t>）</w:t>
            </w:r>
            <w:r>
              <w:rPr>
                <w:rFonts w:hint="eastAsia" w:ascii="仿宋_GB2312" w:hAnsi="仿宋_GB2312" w:eastAsia="仿宋_GB2312" w:cs="仿宋_GB2312"/>
                <w:color w:val="auto"/>
                <w:spacing w:val="7"/>
                <w:sz w:val="24"/>
                <w:szCs w:val="24"/>
              </w:rPr>
              <w:t>通过电子公文传输系统报送至消保局。</w:t>
            </w:r>
          </w:p>
        </w:tc>
      </w:tr>
    </w:tbl>
    <w:p w14:paraId="7829AB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仿宋_GB2312">
    <w:panose1 w:val="02010609030101010101"/>
    <w:charset w:val="86"/>
    <w:family w:val="auto"/>
    <w:pitch w:val="default"/>
    <w:sig w:usb0="00000001" w:usb1="080E0000" w:usb2="00000000" w:usb3="00000000" w:csb0="0004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黑体">
    <w:altName w:val="汉仪中黑KW"/>
    <w:panose1 w:val="00000000000000000000"/>
    <w:charset w:val="00"/>
    <w:family w:val="auto"/>
    <w:pitch w:val="default"/>
    <w:sig w:usb0="00000000" w:usb1="00000000" w:usb2="00000000" w:usb3="00000000" w:csb0="00000000" w:csb1="00000000"/>
  </w:font>
  <w:font w:name="FangSong">
    <w:altName w:val="仿宋-简"/>
    <w:panose1 w:val="02010609060101010101"/>
    <w:charset w:val="86"/>
    <w:family w:val="auto"/>
    <w:pitch w:val="default"/>
    <w:sig w:usb0="00000000" w:usb1="00000000" w:usb2="00000016" w:usb3="00000000" w:csb0="00040001" w:csb1="00000000"/>
  </w:font>
  <w:font w:name="仿宋-简">
    <w:panose1 w:val="02010609060101010101"/>
    <w:charset w:val="86"/>
    <w:family w:val="auto"/>
    <w:pitch w:val="default"/>
    <w:sig w:usb0="A00002BF" w:usb1="3A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481D0">
    <w:pPr>
      <w:spacing w:line="194" w:lineRule="exact"/>
      <w:ind w:left="4299"/>
      <w:rPr>
        <w:rFonts w:ascii="Arial" w:hAnsi="Arial" w:eastAsia="Arial" w:cs="Arial"/>
        <w:sz w:val="15"/>
        <w:szCs w:val="15"/>
      </w:rPr>
    </w:pPr>
    <w:r>
      <w:rPr>
        <w:rFonts w:ascii="Arial" w:hAnsi="Arial" w:eastAsia="Arial" w:cs="Arial"/>
        <w:spacing w:val="-2"/>
        <w:position w:val="1"/>
        <w:sz w:val="15"/>
        <w:szCs w:val="15"/>
      </w:rPr>
      <w:t>50</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EFCA1D">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67B386F"/>
    <w:rsid w:val="BB77C527"/>
    <w:rsid w:val="DEFFA5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FangSong" w:hAnsi="FangSong" w:eastAsia="FangSong" w:cs="FangSong"/>
      <w:sz w:val="28"/>
      <w:szCs w:val="28"/>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33"/>
      <w:szCs w:val="33"/>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2</TotalTime>
  <ScaleCrop>false</ScaleCrop>
  <LinksUpToDate>false</LinksUpToDate>
  <CharactersWithSpaces>0</CharactersWithSpaces>
  <Application>WPS Office_12.1.26016.26016_F1E327BC-269C-435d-A152-05C5408002CA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2026-06-22T11:24:14Z</dcterms:created>
  <dc:creator>Data</dc:creator>
  <cp:lastModifiedBy>彭云龙</cp:lastModifiedBy>
  <dcterms:modified xsi:type="dcterms:W3CDTF">2026-06-22T11:32:44Z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2052-12.1.26016.26016</vt:lpwstr>
  </property>
  <property fmtid="{D5CDD505-2E9C-101B-9397-08002B2CF9AE}" pid="3" name="ICV">
    <vt:lpwstr>2B0E08F2DC686C2A8DAB386AD276F41D_42</vt:lpwstr>
  </property>
</Properties>
</file>