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850" w:type="dxa"/>
        <w:tblInd w:w="-73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9"/>
        <w:gridCol w:w="481"/>
        <w:gridCol w:w="1005"/>
        <w:gridCol w:w="689"/>
        <w:gridCol w:w="916"/>
        <w:gridCol w:w="870"/>
        <w:gridCol w:w="29"/>
        <w:gridCol w:w="1621"/>
        <w:gridCol w:w="885"/>
        <w:gridCol w:w="1425"/>
        <w:gridCol w:w="389"/>
        <w:gridCol w:w="301"/>
        <w:gridCol w:w="1425"/>
        <w:gridCol w:w="89"/>
        <w:gridCol w:w="616"/>
        <w:gridCol w:w="1635"/>
        <w:gridCol w:w="555"/>
        <w:gridCol w:w="1514"/>
        <w:gridCol w:w="256"/>
      </w:tblGrid>
      <w:tr w14:paraId="22E1119B">
        <w:trPr>
          <w:trHeight w:val="405" w:hRule="atLeast"/>
        </w:trPr>
        <w:tc>
          <w:tcPr>
            <w:tcW w:w="14850" w:type="dxa"/>
            <w:gridSpan w:val="19"/>
            <w:tcBorders>
              <w:top w:val="nil"/>
              <w:left w:val="nil"/>
              <w:bottom w:val="nil"/>
              <w:right w:val="nil"/>
            </w:tcBorders>
            <w:noWrap w:val="0"/>
            <w:vAlign w:val="center"/>
          </w:tcPr>
          <w:p w14:paraId="0DDBD57F">
            <w:pPr>
              <w:keepNext w:val="0"/>
              <w:keepLines w:val="0"/>
              <w:widowControl/>
              <w:suppressLineNumbers w:val="0"/>
              <w:jc w:val="lef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附件1-1</w:t>
            </w:r>
          </w:p>
        </w:tc>
      </w:tr>
      <w:tr w14:paraId="644F1D37">
        <w:trPr>
          <w:trHeight w:val="816" w:hRule="atLeast"/>
        </w:trPr>
        <w:tc>
          <w:tcPr>
            <w:tcW w:w="14850" w:type="dxa"/>
            <w:gridSpan w:val="19"/>
            <w:tcBorders>
              <w:top w:val="nil"/>
              <w:left w:val="nil"/>
              <w:bottom w:val="nil"/>
              <w:right w:val="nil"/>
            </w:tcBorders>
            <w:noWrap w:val="0"/>
            <w:vAlign w:val="center"/>
          </w:tcPr>
          <w:p w14:paraId="0E3597C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ascii="方正小标宋简体" w:hAnsi="方正小标宋简体" w:eastAsia="方正小标宋简体" w:cs="方正小标宋简体"/>
                <w:b w:val="0"/>
                <w:bCs w:val="0"/>
                <w:i w:val="0"/>
                <w:iCs w:val="0"/>
                <w:color w:val="000000"/>
                <w:sz w:val="44"/>
                <w:szCs w:val="44"/>
                <w:u w:val="none"/>
              </w:rPr>
            </w:pP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XX保险集团集中度风险指标统计表-投资资产集中度</w:t>
            </w:r>
          </w:p>
        </w:tc>
      </w:tr>
      <w:tr w14:paraId="5C8B2B25">
        <w:trPr>
          <w:trHeight w:val="375" w:hRule="atLeast"/>
        </w:trPr>
        <w:tc>
          <w:tcPr>
            <w:tcW w:w="630" w:type="dxa"/>
            <w:gridSpan w:val="2"/>
            <w:tcBorders>
              <w:top w:val="nil"/>
              <w:left w:val="nil"/>
              <w:bottom w:val="nil"/>
              <w:right w:val="nil"/>
            </w:tcBorders>
            <w:noWrap w:val="0"/>
            <w:vAlign w:val="center"/>
          </w:tcPr>
          <w:p w14:paraId="05479D8B">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005" w:type="dxa"/>
            <w:tcBorders>
              <w:top w:val="nil"/>
              <w:left w:val="nil"/>
              <w:bottom w:val="nil"/>
              <w:right w:val="nil"/>
            </w:tcBorders>
            <w:noWrap w:val="0"/>
            <w:vAlign w:val="center"/>
          </w:tcPr>
          <w:p w14:paraId="601BD772">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605" w:type="dxa"/>
            <w:gridSpan w:val="2"/>
            <w:tcBorders>
              <w:top w:val="nil"/>
              <w:left w:val="nil"/>
              <w:bottom w:val="nil"/>
              <w:right w:val="nil"/>
            </w:tcBorders>
            <w:noWrap w:val="0"/>
            <w:vAlign w:val="center"/>
          </w:tcPr>
          <w:p w14:paraId="38379B11">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870" w:type="dxa"/>
            <w:tcBorders>
              <w:top w:val="nil"/>
              <w:left w:val="nil"/>
              <w:bottom w:val="nil"/>
              <w:right w:val="nil"/>
            </w:tcBorders>
            <w:noWrap w:val="0"/>
            <w:vAlign w:val="center"/>
          </w:tcPr>
          <w:p w14:paraId="2BF568D9">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650" w:type="dxa"/>
            <w:gridSpan w:val="2"/>
            <w:tcBorders>
              <w:top w:val="nil"/>
              <w:left w:val="nil"/>
              <w:bottom w:val="nil"/>
              <w:right w:val="nil"/>
            </w:tcBorders>
            <w:noWrap w:val="0"/>
            <w:vAlign w:val="center"/>
          </w:tcPr>
          <w:p w14:paraId="7B8C37DC">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885" w:type="dxa"/>
            <w:tcBorders>
              <w:top w:val="nil"/>
              <w:left w:val="nil"/>
              <w:bottom w:val="nil"/>
              <w:right w:val="nil"/>
            </w:tcBorders>
            <w:noWrap w:val="0"/>
            <w:vAlign w:val="center"/>
          </w:tcPr>
          <w:p w14:paraId="1EA64B5A">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425" w:type="dxa"/>
            <w:tcBorders>
              <w:top w:val="nil"/>
              <w:left w:val="nil"/>
              <w:bottom w:val="nil"/>
              <w:right w:val="nil"/>
            </w:tcBorders>
            <w:noWrap w:val="0"/>
            <w:vAlign w:val="center"/>
          </w:tcPr>
          <w:p w14:paraId="742C08B3">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690" w:type="dxa"/>
            <w:gridSpan w:val="2"/>
            <w:tcBorders>
              <w:top w:val="nil"/>
              <w:left w:val="nil"/>
              <w:bottom w:val="nil"/>
              <w:right w:val="nil"/>
            </w:tcBorders>
            <w:noWrap w:val="0"/>
            <w:vAlign w:val="center"/>
          </w:tcPr>
          <w:p w14:paraId="12AD6723">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425" w:type="dxa"/>
            <w:tcBorders>
              <w:top w:val="nil"/>
              <w:left w:val="nil"/>
              <w:bottom w:val="nil"/>
              <w:right w:val="nil"/>
            </w:tcBorders>
            <w:noWrap w:val="0"/>
            <w:vAlign w:val="center"/>
          </w:tcPr>
          <w:p w14:paraId="338672A7">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705" w:type="dxa"/>
            <w:gridSpan w:val="2"/>
            <w:tcBorders>
              <w:top w:val="nil"/>
              <w:left w:val="nil"/>
              <w:bottom w:val="nil"/>
              <w:right w:val="nil"/>
            </w:tcBorders>
            <w:noWrap w:val="0"/>
            <w:vAlign w:val="center"/>
          </w:tcPr>
          <w:p w14:paraId="741FEC3D">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635" w:type="dxa"/>
            <w:tcBorders>
              <w:top w:val="nil"/>
              <w:left w:val="nil"/>
              <w:bottom w:val="nil"/>
              <w:right w:val="nil"/>
            </w:tcBorders>
            <w:noWrap w:val="0"/>
            <w:vAlign w:val="center"/>
          </w:tcPr>
          <w:p w14:paraId="31AFFBE3">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555" w:type="dxa"/>
            <w:tcBorders>
              <w:top w:val="nil"/>
              <w:left w:val="nil"/>
              <w:bottom w:val="nil"/>
              <w:right w:val="nil"/>
            </w:tcBorders>
            <w:noWrap w:val="0"/>
            <w:vAlign w:val="center"/>
          </w:tcPr>
          <w:p w14:paraId="4795DF54">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c>
          <w:tcPr>
            <w:tcW w:w="1770" w:type="dxa"/>
            <w:gridSpan w:val="2"/>
            <w:tcBorders>
              <w:top w:val="nil"/>
              <w:left w:val="nil"/>
              <w:bottom w:val="nil"/>
              <w:right w:val="nil"/>
            </w:tcBorders>
            <w:noWrap w:val="0"/>
            <w:vAlign w:val="center"/>
          </w:tcPr>
          <w:p w14:paraId="06EF31D2">
            <w:pPr>
              <w:keepNext w:val="0"/>
              <w:keepLines w:val="0"/>
              <w:pageBreakBefore w:val="0"/>
              <w:widowControl/>
              <w:kinsoku/>
              <w:wordWrap/>
              <w:overflowPunct/>
              <w:topLinePunct w:val="0"/>
              <w:autoSpaceDE/>
              <w:autoSpaceDN/>
              <w:bidi w:val="0"/>
              <w:adjustRightInd/>
              <w:snapToGrid/>
              <w:spacing w:line="100" w:lineRule="exact"/>
              <w:jc w:val="center"/>
              <w:textAlignment w:val="auto"/>
              <w:rPr>
                <w:rFonts w:hint="eastAsia" w:ascii="仿宋_GB2312" w:hAnsi="等线" w:eastAsia="仿宋_GB2312" w:cs="仿宋_GB2312"/>
                <w:b/>
                <w:bCs/>
                <w:i w:val="0"/>
                <w:iCs w:val="0"/>
                <w:color w:val="000000"/>
                <w:sz w:val="28"/>
                <w:szCs w:val="28"/>
                <w:u w:val="none"/>
              </w:rPr>
            </w:pPr>
          </w:p>
        </w:tc>
      </w:tr>
      <w:tr w14:paraId="32F46920">
        <w:trPr>
          <w:trHeight w:val="285" w:hRule="atLeast"/>
        </w:trPr>
        <w:tc>
          <w:tcPr>
            <w:tcW w:w="14850" w:type="dxa"/>
            <w:gridSpan w:val="19"/>
            <w:tcBorders>
              <w:top w:val="nil"/>
              <w:left w:val="nil"/>
              <w:bottom w:val="nil"/>
              <w:right w:val="nil"/>
            </w:tcBorders>
            <w:noWrap w:val="0"/>
            <w:vAlign w:val="center"/>
          </w:tcPr>
          <w:p w14:paraId="2D301EB6">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 xml:space="preserve">                                        报告日期：年 月 日                                   单位：亿元</w:t>
            </w:r>
          </w:p>
        </w:tc>
      </w:tr>
      <w:tr w14:paraId="1DFD3418">
        <w:trPr>
          <w:trHeight w:val="285" w:hRule="atLeast"/>
        </w:trPr>
        <w:tc>
          <w:tcPr>
            <w:tcW w:w="63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934EB65">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集团名称</w:t>
            </w:r>
          </w:p>
        </w:tc>
        <w:tc>
          <w:tcPr>
            <w:tcW w:w="7440" w:type="dxa"/>
            <w:gridSpan w:val="8"/>
            <w:tcBorders>
              <w:top w:val="single" w:color="000000" w:sz="4" w:space="0"/>
              <w:left w:val="single" w:color="000000" w:sz="4" w:space="0"/>
              <w:bottom w:val="single" w:color="000000" w:sz="4" w:space="0"/>
              <w:right w:val="single" w:color="000000" w:sz="4" w:space="0"/>
            </w:tcBorders>
            <w:noWrap w:val="0"/>
            <w:vAlign w:val="center"/>
          </w:tcPr>
          <w:p w14:paraId="27879C33">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交易对手集中度</w:t>
            </w:r>
          </w:p>
        </w:tc>
        <w:tc>
          <w:tcPr>
            <w:tcW w:w="211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3979FB34">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投资资产类别集中度-权益类资产</w:t>
            </w:r>
          </w:p>
        </w:tc>
        <w:tc>
          <w:tcPr>
            <w:tcW w:w="234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1F744142">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投资行业集中度</w:t>
            </w:r>
          </w:p>
        </w:tc>
        <w:tc>
          <w:tcPr>
            <w:tcW w:w="232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4EB68375">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投资区域集中度-境外区域</w:t>
            </w:r>
          </w:p>
        </w:tc>
      </w:tr>
      <w:tr w14:paraId="3A25BDED">
        <w:trPr>
          <w:trHeight w:val="285" w:hRule="atLeast"/>
        </w:trPr>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BF8609D">
            <w:pPr>
              <w:jc w:val="center"/>
              <w:rPr>
                <w:rFonts w:hint="eastAsia" w:ascii="仿宋_GB2312" w:hAnsi="等线" w:eastAsia="仿宋_GB2312" w:cs="仿宋_GB2312"/>
                <w:b w:val="0"/>
                <w:bCs w:val="0"/>
                <w:i w:val="0"/>
                <w:iCs w:val="0"/>
                <w:color w:val="000000"/>
                <w:spacing w:val="-11"/>
                <w:sz w:val="18"/>
                <w:szCs w:val="18"/>
                <w:u w:val="none"/>
              </w:rPr>
            </w:pPr>
          </w:p>
        </w:tc>
        <w:tc>
          <w:tcPr>
            <w:tcW w:w="5130" w:type="dxa"/>
            <w:gridSpan w:val="6"/>
            <w:tcBorders>
              <w:top w:val="single" w:color="000000" w:sz="4" w:space="0"/>
              <w:left w:val="single" w:color="000000" w:sz="4" w:space="0"/>
              <w:bottom w:val="single" w:color="000000" w:sz="4" w:space="0"/>
              <w:right w:val="single" w:color="000000" w:sz="4" w:space="0"/>
            </w:tcBorders>
            <w:noWrap w:val="0"/>
            <w:vAlign w:val="center"/>
          </w:tcPr>
          <w:p w14:paraId="1784E66F">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按机构类型</w:t>
            </w:r>
          </w:p>
        </w:tc>
        <w:tc>
          <w:tcPr>
            <w:tcW w:w="231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39A6A23">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按资产损失</w:t>
            </w:r>
          </w:p>
        </w:tc>
        <w:tc>
          <w:tcPr>
            <w:tcW w:w="211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A425522">
            <w:pPr>
              <w:jc w:val="center"/>
              <w:rPr>
                <w:rFonts w:hint="eastAsia" w:ascii="仿宋_GB2312" w:hAnsi="等线" w:eastAsia="仿宋_GB2312" w:cs="仿宋_GB2312"/>
                <w:b w:val="0"/>
                <w:bCs w:val="0"/>
                <w:i w:val="0"/>
                <w:iCs w:val="0"/>
                <w:color w:val="000000"/>
                <w:spacing w:val="-11"/>
                <w:sz w:val="18"/>
                <w:szCs w:val="18"/>
                <w:u w:val="none"/>
              </w:rPr>
            </w:pPr>
          </w:p>
        </w:tc>
        <w:tc>
          <w:tcPr>
            <w:tcW w:w="234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2CA515D">
            <w:pPr>
              <w:jc w:val="center"/>
              <w:rPr>
                <w:rFonts w:hint="eastAsia" w:ascii="仿宋_GB2312" w:hAnsi="等线" w:eastAsia="仿宋_GB2312" w:cs="仿宋_GB2312"/>
                <w:b w:val="0"/>
                <w:bCs w:val="0"/>
                <w:i w:val="0"/>
                <w:iCs w:val="0"/>
                <w:color w:val="000000"/>
                <w:spacing w:val="-11"/>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16B4539">
            <w:pPr>
              <w:jc w:val="center"/>
              <w:rPr>
                <w:rFonts w:hint="eastAsia" w:ascii="仿宋_GB2312" w:hAnsi="等线" w:eastAsia="仿宋_GB2312" w:cs="仿宋_GB2312"/>
                <w:b w:val="0"/>
                <w:bCs w:val="0"/>
                <w:i w:val="0"/>
                <w:iCs w:val="0"/>
                <w:color w:val="000000"/>
                <w:spacing w:val="-11"/>
                <w:sz w:val="18"/>
                <w:szCs w:val="18"/>
                <w:u w:val="none"/>
              </w:rPr>
            </w:pPr>
          </w:p>
        </w:tc>
      </w:tr>
      <w:tr w14:paraId="094925D0">
        <w:trPr>
          <w:trHeight w:val="629" w:hRule="atLeast"/>
        </w:trPr>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218B102">
            <w:pPr>
              <w:jc w:val="center"/>
              <w:rPr>
                <w:rFonts w:hint="eastAsia" w:ascii="仿宋_GB2312" w:hAnsi="等线" w:eastAsia="仿宋_GB2312" w:cs="仿宋_GB2312"/>
                <w:b w:val="0"/>
                <w:bCs w:val="0"/>
                <w:i w:val="0"/>
                <w:iCs w:val="0"/>
                <w:color w:val="000000"/>
                <w:spacing w:val="-11"/>
                <w:sz w:val="18"/>
                <w:szCs w:val="18"/>
                <w:u w:val="none"/>
              </w:rPr>
            </w:pPr>
          </w:p>
        </w:tc>
        <w:tc>
          <w:tcPr>
            <w:tcW w:w="2610" w:type="dxa"/>
            <w:gridSpan w:val="3"/>
            <w:tcBorders>
              <w:top w:val="single" w:color="000000" w:sz="4" w:space="0"/>
              <w:left w:val="single" w:color="000000" w:sz="4" w:space="0"/>
              <w:bottom w:val="single" w:color="000000" w:sz="4" w:space="0"/>
              <w:right w:val="single" w:color="000000" w:sz="4" w:space="0"/>
            </w:tcBorders>
            <w:noWrap w:val="0"/>
            <w:vAlign w:val="center"/>
          </w:tcPr>
          <w:p w14:paraId="36C413F9">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交易对手集中度-全国性股份制商业银行</w:t>
            </w:r>
          </w:p>
        </w:tc>
        <w:tc>
          <w:tcPr>
            <w:tcW w:w="2520" w:type="dxa"/>
            <w:gridSpan w:val="3"/>
            <w:tcBorders>
              <w:top w:val="single" w:color="000000" w:sz="4" w:space="0"/>
              <w:left w:val="single" w:color="000000" w:sz="4" w:space="0"/>
              <w:bottom w:val="single" w:color="000000" w:sz="4" w:space="0"/>
              <w:right w:val="single" w:color="000000" w:sz="4" w:space="0"/>
            </w:tcBorders>
            <w:noWrap w:val="0"/>
            <w:vAlign w:val="center"/>
          </w:tcPr>
          <w:p w14:paraId="31307FF9">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交易对手集中度-其他机构</w:t>
            </w:r>
          </w:p>
        </w:tc>
        <w:tc>
          <w:tcPr>
            <w:tcW w:w="231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960B45E">
            <w:pPr>
              <w:jc w:val="center"/>
              <w:rPr>
                <w:rFonts w:hint="eastAsia" w:ascii="仿宋_GB2312" w:hAnsi="等线" w:eastAsia="仿宋_GB2312" w:cs="仿宋_GB2312"/>
                <w:b w:val="0"/>
                <w:bCs w:val="0"/>
                <w:i w:val="0"/>
                <w:iCs w:val="0"/>
                <w:color w:val="000000"/>
                <w:spacing w:val="-11"/>
                <w:sz w:val="18"/>
                <w:szCs w:val="18"/>
                <w:u w:val="none"/>
              </w:rPr>
            </w:pPr>
          </w:p>
        </w:tc>
        <w:tc>
          <w:tcPr>
            <w:tcW w:w="211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DC22BA3">
            <w:pPr>
              <w:jc w:val="center"/>
              <w:rPr>
                <w:rFonts w:hint="eastAsia" w:ascii="仿宋_GB2312" w:hAnsi="等线" w:eastAsia="仿宋_GB2312" w:cs="仿宋_GB2312"/>
                <w:b w:val="0"/>
                <w:bCs w:val="0"/>
                <w:i w:val="0"/>
                <w:iCs w:val="0"/>
                <w:color w:val="000000"/>
                <w:spacing w:val="-11"/>
                <w:sz w:val="18"/>
                <w:szCs w:val="18"/>
                <w:u w:val="none"/>
              </w:rPr>
            </w:pPr>
          </w:p>
        </w:tc>
        <w:tc>
          <w:tcPr>
            <w:tcW w:w="234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DCB89AA">
            <w:pPr>
              <w:jc w:val="center"/>
              <w:rPr>
                <w:rFonts w:hint="eastAsia" w:ascii="仿宋_GB2312" w:hAnsi="等线" w:eastAsia="仿宋_GB2312" w:cs="仿宋_GB2312"/>
                <w:b w:val="0"/>
                <w:bCs w:val="0"/>
                <w:i w:val="0"/>
                <w:iCs w:val="0"/>
                <w:color w:val="000000"/>
                <w:spacing w:val="-11"/>
                <w:sz w:val="18"/>
                <w:szCs w:val="18"/>
                <w:u w:val="none"/>
              </w:rPr>
            </w:pPr>
          </w:p>
        </w:tc>
        <w:tc>
          <w:tcPr>
            <w:tcW w:w="232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C4E7810">
            <w:pPr>
              <w:jc w:val="center"/>
              <w:rPr>
                <w:rFonts w:hint="eastAsia" w:ascii="仿宋_GB2312" w:hAnsi="等线" w:eastAsia="仿宋_GB2312" w:cs="仿宋_GB2312"/>
                <w:b w:val="0"/>
                <w:bCs w:val="0"/>
                <w:i w:val="0"/>
                <w:iCs w:val="0"/>
                <w:color w:val="000000"/>
                <w:spacing w:val="-11"/>
                <w:sz w:val="18"/>
                <w:szCs w:val="18"/>
                <w:u w:val="none"/>
              </w:rPr>
            </w:pPr>
          </w:p>
        </w:tc>
      </w:tr>
      <w:tr w14:paraId="2522A528">
        <w:trPr>
          <w:trHeight w:val="1140" w:hRule="atLeast"/>
        </w:trPr>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2C6520B">
            <w:pPr>
              <w:jc w:val="center"/>
              <w:rPr>
                <w:rFonts w:hint="eastAsia" w:ascii="仿宋_GB2312" w:hAnsi="等线" w:eastAsia="仿宋_GB2312" w:cs="仿宋_GB2312"/>
                <w:b w:val="0"/>
                <w:bCs w:val="0"/>
                <w:i w:val="0"/>
                <w:iCs w:val="0"/>
                <w:color w:val="000000"/>
                <w:spacing w:val="-11"/>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73393291">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前五大交易对手</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14:paraId="57FD77A0">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（单一交易对手资产账面价值/上一年末合并总资产)</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469E54DA">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前五大交易对手</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4DC6BB9B">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（单一交易对手资产账面价值/上一年末合并总资产)</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10536604">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前五大交易对手</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6ED32C6">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（单一交易对手资产损失/近三年平均合并净利润)</w:t>
            </w:r>
          </w:p>
        </w:tc>
        <w:tc>
          <w:tcPr>
            <w:tcW w:w="690" w:type="dxa"/>
            <w:gridSpan w:val="2"/>
            <w:tcBorders>
              <w:top w:val="single" w:color="000000" w:sz="4" w:space="0"/>
              <w:left w:val="single" w:color="000000" w:sz="4" w:space="0"/>
              <w:bottom w:val="single" w:color="000000" w:sz="4" w:space="0"/>
              <w:right w:val="single" w:color="000000" w:sz="4" w:space="0"/>
            </w:tcBorders>
            <w:noWrap w:val="0"/>
            <w:vAlign w:val="center"/>
          </w:tcPr>
          <w:p w14:paraId="198F3902">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权益类资产</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B77D287">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（账面价值/上一年末合并总资产)</w:t>
            </w:r>
          </w:p>
        </w:tc>
        <w:tc>
          <w:tcPr>
            <w:tcW w:w="705" w:type="dxa"/>
            <w:gridSpan w:val="2"/>
            <w:tcBorders>
              <w:top w:val="single" w:color="000000" w:sz="4" w:space="0"/>
              <w:left w:val="single" w:color="000000" w:sz="4" w:space="0"/>
              <w:bottom w:val="single" w:color="000000" w:sz="4" w:space="0"/>
              <w:right w:val="single" w:color="000000" w:sz="4" w:space="0"/>
            </w:tcBorders>
            <w:noWrap w:val="0"/>
            <w:vAlign w:val="center"/>
          </w:tcPr>
          <w:p w14:paraId="1EAA5E3C">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前五大行业</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84EE9EE">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（单一行业资产账面价值/上一年末合并总资产)</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04B1F06">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投资区域</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4EF751CD">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pacing w:val="-11"/>
                <w:sz w:val="18"/>
                <w:szCs w:val="18"/>
                <w:u w:val="none"/>
              </w:rPr>
            </w:pPr>
            <w:r>
              <w:rPr>
                <w:rFonts w:hint="eastAsia" w:ascii="仿宋_GB2312" w:hAnsi="等线" w:eastAsia="仿宋_GB2312" w:cs="仿宋_GB2312"/>
                <w:b w:val="0"/>
                <w:bCs w:val="0"/>
                <w:i w:val="0"/>
                <w:iCs w:val="0"/>
                <w:color w:val="000000"/>
                <w:spacing w:val="-11"/>
                <w:kern w:val="0"/>
                <w:sz w:val="18"/>
                <w:szCs w:val="18"/>
                <w:u w:val="none"/>
                <w:lang w:val="en-US" w:eastAsia="zh-CN" w:bidi="ar"/>
              </w:rPr>
              <w:t>指标值%</w:t>
            </w:r>
            <w:r>
              <w:rPr>
                <w:rFonts w:hint="eastAsia" w:ascii="仿宋_GB2312" w:hAnsi="等线" w:eastAsia="仿宋_GB2312" w:cs="仿宋_GB2312"/>
                <w:b w:val="0"/>
                <w:bCs w:val="0"/>
                <w:i w:val="0"/>
                <w:iCs w:val="0"/>
                <w:color w:val="000000"/>
                <w:spacing w:val="-11"/>
                <w:kern w:val="0"/>
                <w:sz w:val="18"/>
                <w:szCs w:val="18"/>
                <w:u w:val="none"/>
                <w:lang w:val="en-US" w:eastAsia="zh-CN" w:bidi="ar"/>
              </w:rPr>
              <w:br w:type="textWrapping"/>
            </w:r>
            <w:r>
              <w:rPr>
                <w:rFonts w:hint="eastAsia" w:ascii="仿宋_GB2312" w:hAnsi="等线" w:eastAsia="仿宋_GB2312" w:cs="仿宋_GB2312"/>
                <w:b w:val="0"/>
                <w:bCs w:val="0"/>
                <w:i w:val="0"/>
                <w:iCs w:val="0"/>
                <w:color w:val="000000"/>
                <w:spacing w:val="-11"/>
                <w:kern w:val="0"/>
                <w:sz w:val="18"/>
                <w:szCs w:val="18"/>
                <w:u w:val="none"/>
                <w:lang w:val="en-US" w:eastAsia="zh-CN" w:bidi="ar"/>
              </w:rPr>
              <w:t>（投资境外区域资产账面价值/上一年末合并总资产)</w:t>
            </w:r>
          </w:p>
        </w:tc>
      </w:tr>
      <w:tr w14:paraId="4B52948C">
        <w:trPr>
          <w:trHeight w:val="270" w:hRule="atLeast"/>
        </w:trPr>
        <w:tc>
          <w:tcPr>
            <w:tcW w:w="63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D036684">
            <w:pPr>
              <w:jc w:val="center"/>
              <w:rPr>
                <w:rFonts w:hint="eastAsia" w:ascii="仿宋_GB2312" w:hAnsi="等线" w:eastAsia="仿宋_GB2312" w:cs="仿宋_GB2312"/>
                <w:b/>
                <w:bCs/>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5D48C1F4">
            <w:pPr>
              <w:jc w:val="center"/>
              <w:rPr>
                <w:rFonts w:hint="eastAsia" w:ascii="仿宋_GB2312" w:hAnsi="等线" w:eastAsia="仿宋_GB2312" w:cs="仿宋_GB2312"/>
                <w:i w:val="0"/>
                <w:iCs w:val="0"/>
                <w:color w:val="000000"/>
                <w:sz w:val="18"/>
                <w:szCs w:val="18"/>
                <w:u w:val="none"/>
              </w:rPr>
            </w:pP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14:paraId="49A86D4F">
            <w:pPr>
              <w:jc w:val="center"/>
              <w:rPr>
                <w:rFonts w:hint="eastAsia" w:ascii="仿宋_GB2312" w:hAnsi="等线" w:eastAsia="仿宋_GB2312" w:cs="仿宋_GB2312"/>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30AAD7E9">
            <w:pPr>
              <w:jc w:val="center"/>
              <w:rPr>
                <w:rFonts w:hint="eastAsia" w:ascii="仿宋_GB2312" w:hAnsi="等线" w:eastAsia="仿宋_GB2312" w:cs="仿宋_GB2312"/>
                <w:i w:val="0"/>
                <w:iCs w:val="0"/>
                <w:color w:val="000000"/>
                <w:sz w:val="18"/>
                <w:szCs w:val="18"/>
                <w:u w:val="none"/>
              </w:rPr>
            </w:pP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76E45073">
            <w:pPr>
              <w:jc w:val="center"/>
              <w:rPr>
                <w:rFonts w:hint="eastAsia" w:ascii="仿宋_GB2312" w:hAnsi="等线" w:eastAsia="仿宋_GB2312" w:cs="仿宋_GB2312"/>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72FD4864">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C90DE1B">
            <w:pPr>
              <w:jc w:val="center"/>
              <w:rPr>
                <w:rFonts w:hint="eastAsia" w:ascii="仿宋_GB2312" w:hAnsi="等线" w:eastAsia="仿宋_GB2312" w:cs="仿宋_GB2312"/>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noWrap w:val="0"/>
            <w:vAlign w:val="center"/>
          </w:tcPr>
          <w:p w14:paraId="387ED66B">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FE1136D">
            <w:pPr>
              <w:jc w:val="center"/>
              <w:rPr>
                <w:rFonts w:hint="eastAsia" w:ascii="仿宋_GB2312" w:hAnsi="等线" w:eastAsia="仿宋_GB2312" w:cs="仿宋_GB2312"/>
                <w:i w:val="0"/>
                <w:iCs w:val="0"/>
                <w:color w:val="000000"/>
                <w:sz w:val="18"/>
                <w:szCs w:val="18"/>
                <w:u w:val="none"/>
              </w:rPr>
            </w:pPr>
          </w:p>
        </w:tc>
        <w:tc>
          <w:tcPr>
            <w:tcW w:w="705" w:type="dxa"/>
            <w:gridSpan w:val="2"/>
            <w:tcBorders>
              <w:top w:val="single" w:color="000000" w:sz="4" w:space="0"/>
              <w:left w:val="single" w:color="000000" w:sz="4" w:space="0"/>
              <w:bottom w:val="single" w:color="000000" w:sz="4" w:space="0"/>
              <w:right w:val="single" w:color="000000" w:sz="4" w:space="0"/>
            </w:tcBorders>
            <w:noWrap w:val="0"/>
            <w:vAlign w:val="center"/>
          </w:tcPr>
          <w:p w14:paraId="3048FB31">
            <w:pPr>
              <w:jc w:val="center"/>
              <w:rPr>
                <w:rFonts w:hint="eastAsia" w:ascii="仿宋_GB2312" w:hAnsi="等线" w:eastAsia="仿宋_GB2312" w:cs="仿宋_GB2312"/>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3D740868">
            <w:pPr>
              <w:jc w:val="center"/>
              <w:rPr>
                <w:rFonts w:hint="eastAsia" w:ascii="仿宋_GB2312" w:hAnsi="等线" w:eastAsia="仿宋_GB2312" w:cs="仿宋_GB2312"/>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0D6F3081">
            <w:pPr>
              <w:jc w:val="center"/>
              <w:rPr>
                <w:rFonts w:hint="eastAsia" w:ascii="仿宋_GB2312" w:hAnsi="等线" w:eastAsia="仿宋_GB2312" w:cs="仿宋_GB2312"/>
                <w:i w:val="0"/>
                <w:iCs w:val="0"/>
                <w:color w:val="000000"/>
                <w:sz w:val="18"/>
                <w:szCs w:val="18"/>
                <w:u w:val="none"/>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4F9C630B">
            <w:pPr>
              <w:jc w:val="center"/>
              <w:rPr>
                <w:rFonts w:hint="eastAsia" w:ascii="仿宋_GB2312" w:hAnsi="等线" w:eastAsia="仿宋_GB2312" w:cs="仿宋_GB2312"/>
                <w:i w:val="0"/>
                <w:iCs w:val="0"/>
                <w:color w:val="000000"/>
                <w:sz w:val="18"/>
                <w:szCs w:val="18"/>
                <w:u w:val="none"/>
              </w:rPr>
            </w:pPr>
          </w:p>
        </w:tc>
      </w:tr>
      <w:tr w14:paraId="7673075B">
        <w:trPr>
          <w:trHeight w:val="270" w:hRule="atLeast"/>
        </w:trPr>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C736517">
            <w:pPr>
              <w:jc w:val="center"/>
              <w:rPr>
                <w:rFonts w:hint="eastAsia" w:ascii="仿宋_GB2312" w:hAnsi="等线" w:eastAsia="仿宋_GB2312" w:cs="仿宋_GB2312"/>
                <w:b/>
                <w:bCs/>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40981322">
            <w:pPr>
              <w:jc w:val="center"/>
              <w:rPr>
                <w:rFonts w:hint="eastAsia" w:ascii="仿宋_GB2312" w:hAnsi="等线" w:eastAsia="仿宋_GB2312" w:cs="仿宋_GB2312"/>
                <w:i w:val="0"/>
                <w:iCs w:val="0"/>
                <w:color w:val="000000"/>
                <w:sz w:val="18"/>
                <w:szCs w:val="18"/>
                <w:u w:val="none"/>
              </w:rPr>
            </w:pP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14:paraId="7EEBFDB7">
            <w:pPr>
              <w:jc w:val="center"/>
              <w:rPr>
                <w:rFonts w:hint="eastAsia" w:ascii="仿宋_GB2312" w:hAnsi="等线" w:eastAsia="仿宋_GB2312" w:cs="仿宋_GB2312"/>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0A9646CC">
            <w:pPr>
              <w:jc w:val="center"/>
              <w:rPr>
                <w:rFonts w:hint="eastAsia" w:ascii="仿宋_GB2312" w:hAnsi="等线" w:eastAsia="仿宋_GB2312" w:cs="仿宋_GB2312"/>
                <w:i w:val="0"/>
                <w:iCs w:val="0"/>
                <w:color w:val="000000"/>
                <w:sz w:val="18"/>
                <w:szCs w:val="18"/>
                <w:u w:val="none"/>
              </w:rPr>
            </w:pP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31398A15">
            <w:pPr>
              <w:jc w:val="center"/>
              <w:rPr>
                <w:rFonts w:hint="eastAsia" w:ascii="仿宋_GB2312" w:hAnsi="等线" w:eastAsia="仿宋_GB2312" w:cs="仿宋_GB2312"/>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5F4512AD">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F63D469">
            <w:pPr>
              <w:jc w:val="center"/>
              <w:rPr>
                <w:rFonts w:hint="eastAsia" w:ascii="仿宋_GB2312" w:hAnsi="等线" w:eastAsia="仿宋_GB2312" w:cs="仿宋_GB2312"/>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noWrap w:val="0"/>
            <w:vAlign w:val="center"/>
          </w:tcPr>
          <w:p w14:paraId="23F9D4E1">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33FA1BD">
            <w:pPr>
              <w:jc w:val="center"/>
              <w:rPr>
                <w:rFonts w:hint="eastAsia" w:ascii="仿宋_GB2312" w:hAnsi="等线" w:eastAsia="仿宋_GB2312" w:cs="仿宋_GB2312"/>
                <w:i w:val="0"/>
                <w:iCs w:val="0"/>
                <w:color w:val="000000"/>
                <w:sz w:val="18"/>
                <w:szCs w:val="18"/>
                <w:u w:val="none"/>
              </w:rPr>
            </w:pPr>
          </w:p>
        </w:tc>
        <w:tc>
          <w:tcPr>
            <w:tcW w:w="705" w:type="dxa"/>
            <w:gridSpan w:val="2"/>
            <w:tcBorders>
              <w:top w:val="single" w:color="000000" w:sz="4" w:space="0"/>
              <w:left w:val="single" w:color="000000" w:sz="4" w:space="0"/>
              <w:bottom w:val="single" w:color="000000" w:sz="4" w:space="0"/>
              <w:right w:val="single" w:color="000000" w:sz="4" w:space="0"/>
            </w:tcBorders>
            <w:noWrap w:val="0"/>
            <w:vAlign w:val="center"/>
          </w:tcPr>
          <w:p w14:paraId="4BFAFA15">
            <w:pPr>
              <w:jc w:val="center"/>
              <w:rPr>
                <w:rFonts w:hint="eastAsia" w:ascii="仿宋_GB2312" w:hAnsi="等线" w:eastAsia="仿宋_GB2312" w:cs="仿宋_GB2312"/>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A98BD58">
            <w:pPr>
              <w:jc w:val="center"/>
              <w:rPr>
                <w:rFonts w:hint="eastAsia" w:ascii="仿宋_GB2312" w:hAnsi="等线" w:eastAsia="仿宋_GB2312" w:cs="仿宋_GB2312"/>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3E8EB877">
            <w:pPr>
              <w:jc w:val="center"/>
              <w:rPr>
                <w:rFonts w:hint="eastAsia" w:ascii="仿宋_GB2312" w:hAnsi="等线" w:eastAsia="仿宋_GB2312" w:cs="仿宋_GB2312"/>
                <w:i w:val="0"/>
                <w:iCs w:val="0"/>
                <w:color w:val="000000"/>
                <w:sz w:val="18"/>
                <w:szCs w:val="18"/>
                <w:u w:val="none"/>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4A40DC39">
            <w:pPr>
              <w:jc w:val="center"/>
              <w:rPr>
                <w:rFonts w:hint="eastAsia" w:ascii="仿宋_GB2312" w:hAnsi="等线" w:eastAsia="仿宋_GB2312" w:cs="仿宋_GB2312"/>
                <w:i w:val="0"/>
                <w:iCs w:val="0"/>
                <w:color w:val="000000"/>
                <w:sz w:val="18"/>
                <w:szCs w:val="18"/>
                <w:u w:val="none"/>
              </w:rPr>
            </w:pPr>
          </w:p>
        </w:tc>
      </w:tr>
      <w:tr w14:paraId="1A718974">
        <w:trPr>
          <w:trHeight w:val="270" w:hRule="atLeast"/>
        </w:trPr>
        <w:tc>
          <w:tcPr>
            <w:tcW w:w="6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562334B">
            <w:pPr>
              <w:jc w:val="center"/>
              <w:rPr>
                <w:rFonts w:hint="eastAsia" w:ascii="仿宋_GB2312" w:hAnsi="等线" w:eastAsia="仿宋_GB2312" w:cs="仿宋_GB2312"/>
                <w:b/>
                <w:bCs/>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7D3C9DB">
            <w:pPr>
              <w:jc w:val="center"/>
              <w:rPr>
                <w:rFonts w:hint="eastAsia" w:ascii="仿宋_GB2312" w:hAnsi="等线" w:eastAsia="仿宋_GB2312" w:cs="仿宋_GB2312"/>
                <w:i w:val="0"/>
                <w:iCs w:val="0"/>
                <w:color w:val="000000"/>
                <w:sz w:val="18"/>
                <w:szCs w:val="18"/>
                <w:u w:val="none"/>
              </w:rPr>
            </w:pP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14:paraId="3BCD6355">
            <w:pPr>
              <w:jc w:val="center"/>
              <w:rPr>
                <w:rFonts w:hint="eastAsia" w:ascii="仿宋_GB2312" w:hAnsi="等线" w:eastAsia="仿宋_GB2312" w:cs="仿宋_GB2312"/>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14:paraId="022F9F5C">
            <w:pPr>
              <w:jc w:val="center"/>
              <w:rPr>
                <w:rFonts w:hint="eastAsia" w:ascii="仿宋_GB2312" w:hAnsi="等线" w:eastAsia="仿宋_GB2312" w:cs="仿宋_GB2312"/>
                <w:i w:val="0"/>
                <w:iCs w:val="0"/>
                <w:color w:val="000000"/>
                <w:sz w:val="18"/>
                <w:szCs w:val="18"/>
                <w:u w:val="none"/>
              </w:rPr>
            </w:pP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2ACBE720">
            <w:pPr>
              <w:jc w:val="center"/>
              <w:rPr>
                <w:rFonts w:hint="eastAsia" w:ascii="仿宋_GB2312" w:hAnsi="等线" w:eastAsia="仿宋_GB2312" w:cs="仿宋_GB2312"/>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14:paraId="05A6607D">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161D2A8">
            <w:pPr>
              <w:jc w:val="center"/>
              <w:rPr>
                <w:rFonts w:hint="eastAsia" w:ascii="仿宋_GB2312" w:hAnsi="等线" w:eastAsia="仿宋_GB2312" w:cs="仿宋_GB2312"/>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noWrap w:val="0"/>
            <w:vAlign w:val="center"/>
          </w:tcPr>
          <w:p w14:paraId="3E0CCDA7">
            <w:pPr>
              <w:jc w:val="center"/>
              <w:rPr>
                <w:rFonts w:hint="eastAsia" w:ascii="仿宋_GB2312" w:hAnsi="等线" w:eastAsia="仿宋_GB2312" w:cs="仿宋_GB2312"/>
                <w:i w:val="0"/>
                <w:iCs w:val="0"/>
                <w:color w:val="000000"/>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B479D3D">
            <w:pPr>
              <w:jc w:val="center"/>
              <w:rPr>
                <w:rFonts w:hint="eastAsia" w:ascii="仿宋_GB2312" w:hAnsi="等线" w:eastAsia="仿宋_GB2312" w:cs="仿宋_GB2312"/>
                <w:i w:val="0"/>
                <w:iCs w:val="0"/>
                <w:color w:val="000000"/>
                <w:sz w:val="18"/>
                <w:szCs w:val="18"/>
                <w:u w:val="none"/>
              </w:rPr>
            </w:pPr>
          </w:p>
        </w:tc>
        <w:tc>
          <w:tcPr>
            <w:tcW w:w="705" w:type="dxa"/>
            <w:gridSpan w:val="2"/>
            <w:tcBorders>
              <w:top w:val="single" w:color="000000" w:sz="4" w:space="0"/>
              <w:left w:val="single" w:color="000000" w:sz="4" w:space="0"/>
              <w:bottom w:val="single" w:color="000000" w:sz="4" w:space="0"/>
              <w:right w:val="single" w:color="000000" w:sz="4" w:space="0"/>
            </w:tcBorders>
            <w:noWrap w:val="0"/>
            <w:vAlign w:val="center"/>
          </w:tcPr>
          <w:p w14:paraId="4FFCA779">
            <w:pPr>
              <w:jc w:val="center"/>
              <w:rPr>
                <w:rFonts w:hint="eastAsia" w:ascii="仿宋_GB2312" w:hAnsi="等线" w:eastAsia="仿宋_GB2312" w:cs="仿宋_GB2312"/>
                <w:i w:val="0"/>
                <w:iCs w:val="0"/>
                <w:color w:val="000000"/>
                <w:sz w:val="18"/>
                <w:szCs w:val="18"/>
                <w:u w:val="none"/>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77DC4731">
            <w:pPr>
              <w:jc w:val="center"/>
              <w:rPr>
                <w:rFonts w:hint="eastAsia" w:ascii="仿宋_GB2312" w:hAnsi="等线" w:eastAsia="仿宋_GB2312" w:cs="仿宋_GB2312"/>
                <w:i w:val="0"/>
                <w:iCs w:val="0"/>
                <w:color w:val="000000"/>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14:paraId="64E20DC2">
            <w:pPr>
              <w:jc w:val="center"/>
              <w:rPr>
                <w:rFonts w:hint="eastAsia" w:ascii="仿宋_GB2312" w:hAnsi="等线" w:eastAsia="仿宋_GB2312" w:cs="仿宋_GB2312"/>
                <w:i w:val="0"/>
                <w:iCs w:val="0"/>
                <w:color w:val="000000"/>
                <w:sz w:val="18"/>
                <w:szCs w:val="18"/>
                <w:u w:val="none"/>
              </w:rPr>
            </w:pP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1C474928">
            <w:pPr>
              <w:jc w:val="center"/>
              <w:rPr>
                <w:rFonts w:hint="eastAsia" w:ascii="仿宋_GB2312" w:hAnsi="等线" w:eastAsia="仿宋_GB2312" w:cs="仿宋_GB2312"/>
                <w:i w:val="0"/>
                <w:iCs w:val="0"/>
                <w:color w:val="000000"/>
                <w:sz w:val="18"/>
                <w:szCs w:val="18"/>
                <w:u w:val="none"/>
              </w:rPr>
            </w:pPr>
          </w:p>
        </w:tc>
      </w:tr>
      <w:tr w14:paraId="6EC71B13">
        <w:trPr>
          <w:trHeight w:val="220" w:hRule="atLeast"/>
        </w:trPr>
        <w:tc>
          <w:tcPr>
            <w:tcW w:w="14850" w:type="dxa"/>
            <w:gridSpan w:val="19"/>
            <w:tcBorders>
              <w:top w:val="nil"/>
              <w:left w:val="nil"/>
              <w:bottom w:val="nil"/>
              <w:right w:val="nil"/>
            </w:tcBorders>
            <w:noWrap w:val="0"/>
            <w:vAlign w:val="center"/>
          </w:tcPr>
          <w:p w14:paraId="42450FAE">
            <w:pPr>
              <w:jc w:val="left"/>
              <w:rPr>
                <w:rFonts w:hint="eastAsia" w:ascii="仿宋_GB2312" w:hAnsi="等线" w:eastAsia="仿宋_GB2312" w:cs="仿宋_GB2312"/>
                <w:i w:val="0"/>
                <w:iCs w:val="0"/>
                <w:color w:val="000000"/>
                <w:sz w:val="15"/>
                <w:szCs w:val="15"/>
                <w:u w:val="none"/>
              </w:rPr>
            </w:pPr>
          </w:p>
        </w:tc>
      </w:tr>
      <w:tr w14:paraId="75D327A5">
        <w:trPr>
          <w:trHeight w:val="1080" w:hRule="atLeast"/>
        </w:trPr>
        <w:tc>
          <w:tcPr>
            <w:tcW w:w="14850" w:type="dxa"/>
            <w:gridSpan w:val="19"/>
            <w:tcBorders>
              <w:top w:val="nil"/>
              <w:left w:val="nil"/>
              <w:bottom w:val="nil"/>
              <w:right w:val="nil"/>
            </w:tcBorders>
            <w:noWrap w:val="0"/>
            <w:vAlign w:val="center"/>
          </w:tcPr>
          <w:p w14:paraId="330BE00B">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备注：1.“投资资产-交易对手集中度、投资行业集中度”按偿二代口径统计，如国有大型商业银行存款和发行的股票、债券等金融产品豁免计算。</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2.“投资资产-投资资产类别、投资区域集中度”按保险资金运用相关口径统计。</w:t>
            </w:r>
          </w:p>
        </w:tc>
      </w:tr>
      <w:tr w14:paraId="2D9294C2">
        <w:trPr>
          <w:gridBefore w:val="1"/>
          <w:gridAfter w:val="1"/>
          <w:wBefore w:w="149" w:type="dxa"/>
          <w:wAfter w:w="256" w:type="dxa"/>
          <w:trHeight w:val="405" w:hRule="atLeast"/>
        </w:trPr>
        <w:tc>
          <w:tcPr>
            <w:tcW w:w="2175" w:type="dxa"/>
            <w:gridSpan w:val="3"/>
            <w:tcBorders>
              <w:top w:val="nil"/>
              <w:left w:val="nil"/>
              <w:bottom w:val="nil"/>
              <w:right w:val="nil"/>
            </w:tcBorders>
            <w:noWrap w:val="0"/>
            <w:vAlign w:val="center"/>
          </w:tcPr>
          <w:p w14:paraId="156A7C98">
            <w:pPr>
              <w:keepNext w:val="0"/>
              <w:keepLines w:val="0"/>
              <w:widowControl/>
              <w:suppressLineNumbers w:val="0"/>
              <w:jc w:val="left"/>
              <w:textAlignment w:val="center"/>
              <w:rPr>
                <w:rFonts w:ascii="黑体" w:hAnsi="宋体" w:eastAsia="黑体" w:cs="黑体"/>
                <w:i w:val="0"/>
                <w:iCs w:val="0"/>
                <w:color w:val="000000"/>
                <w:sz w:val="32"/>
                <w:szCs w:val="32"/>
                <w:u w:val="none"/>
              </w:rPr>
            </w:pPr>
            <w:bookmarkStart w:id="0" w:name="_GoBack"/>
            <w:bookmarkEnd w:id="0"/>
            <w:r>
              <w:rPr>
                <w:rFonts w:hint="eastAsia" w:ascii="黑体" w:hAnsi="宋体" w:eastAsia="黑体" w:cs="黑体"/>
                <w:i w:val="0"/>
                <w:iCs w:val="0"/>
                <w:color w:val="000000"/>
                <w:kern w:val="0"/>
                <w:sz w:val="32"/>
                <w:szCs w:val="32"/>
                <w:u w:val="none"/>
                <w:lang w:val="en-US" w:eastAsia="zh-CN" w:bidi="ar"/>
              </w:rPr>
              <w:t>附件1-2</w:t>
            </w:r>
          </w:p>
        </w:tc>
        <w:tc>
          <w:tcPr>
            <w:tcW w:w="1815" w:type="dxa"/>
            <w:gridSpan w:val="3"/>
            <w:tcBorders>
              <w:top w:val="nil"/>
              <w:left w:val="nil"/>
              <w:bottom w:val="nil"/>
              <w:right w:val="nil"/>
            </w:tcBorders>
            <w:noWrap w:val="0"/>
            <w:vAlign w:val="center"/>
          </w:tcPr>
          <w:p w14:paraId="67A80C4A">
            <w:pPr>
              <w:rPr>
                <w:rFonts w:hint="eastAsia" w:ascii="等线" w:hAnsi="等线" w:eastAsia="等线" w:cs="等线"/>
                <w:i w:val="0"/>
                <w:iCs w:val="0"/>
                <w:color w:val="000000"/>
                <w:sz w:val="32"/>
                <w:szCs w:val="32"/>
                <w:u w:val="none"/>
              </w:rPr>
            </w:pPr>
          </w:p>
        </w:tc>
        <w:tc>
          <w:tcPr>
            <w:tcW w:w="4320" w:type="dxa"/>
            <w:gridSpan w:val="4"/>
            <w:tcBorders>
              <w:top w:val="nil"/>
              <w:left w:val="nil"/>
              <w:bottom w:val="nil"/>
              <w:right w:val="nil"/>
            </w:tcBorders>
            <w:noWrap w:val="0"/>
            <w:vAlign w:val="center"/>
          </w:tcPr>
          <w:p w14:paraId="18C7387A">
            <w:pPr>
              <w:rPr>
                <w:rFonts w:hint="default" w:ascii="等线" w:hAnsi="等线" w:eastAsia="等线" w:cs="等线"/>
                <w:i w:val="0"/>
                <w:iCs w:val="0"/>
                <w:color w:val="000000"/>
                <w:sz w:val="32"/>
                <w:szCs w:val="32"/>
                <w:u w:val="none"/>
              </w:rPr>
            </w:pPr>
          </w:p>
        </w:tc>
        <w:tc>
          <w:tcPr>
            <w:tcW w:w="1815" w:type="dxa"/>
            <w:gridSpan w:val="3"/>
            <w:tcBorders>
              <w:top w:val="nil"/>
              <w:left w:val="nil"/>
              <w:bottom w:val="nil"/>
              <w:right w:val="nil"/>
            </w:tcBorders>
            <w:noWrap w:val="0"/>
            <w:vAlign w:val="center"/>
          </w:tcPr>
          <w:p w14:paraId="29652653">
            <w:pPr>
              <w:rPr>
                <w:rFonts w:hint="default" w:ascii="等线" w:hAnsi="等线" w:eastAsia="等线" w:cs="等线"/>
                <w:i w:val="0"/>
                <w:iCs w:val="0"/>
                <w:color w:val="000000"/>
                <w:sz w:val="32"/>
                <w:szCs w:val="32"/>
                <w:u w:val="none"/>
              </w:rPr>
            </w:pPr>
          </w:p>
        </w:tc>
        <w:tc>
          <w:tcPr>
            <w:tcW w:w="4320" w:type="dxa"/>
            <w:gridSpan w:val="4"/>
            <w:tcBorders>
              <w:top w:val="nil"/>
              <w:left w:val="nil"/>
              <w:bottom w:val="nil"/>
              <w:right w:val="nil"/>
            </w:tcBorders>
            <w:noWrap w:val="0"/>
            <w:vAlign w:val="center"/>
          </w:tcPr>
          <w:p w14:paraId="7D54F0AD">
            <w:pPr>
              <w:rPr>
                <w:rFonts w:hint="default" w:ascii="等线" w:hAnsi="等线" w:eastAsia="等线" w:cs="等线"/>
                <w:i w:val="0"/>
                <w:iCs w:val="0"/>
                <w:color w:val="000000"/>
                <w:sz w:val="32"/>
                <w:szCs w:val="32"/>
                <w:u w:val="none"/>
              </w:rPr>
            </w:pPr>
          </w:p>
        </w:tc>
      </w:tr>
      <w:tr w14:paraId="1F021FA1">
        <w:trPr>
          <w:gridBefore w:val="1"/>
          <w:gridAfter w:val="1"/>
          <w:wBefore w:w="149" w:type="dxa"/>
          <w:wAfter w:w="256" w:type="dxa"/>
          <w:trHeight w:val="585" w:hRule="atLeast"/>
        </w:trPr>
        <w:tc>
          <w:tcPr>
            <w:tcW w:w="14445" w:type="dxa"/>
            <w:gridSpan w:val="17"/>
            <w:tcBorders>
              <w:top w:val="nil"/>
              <w:left w:val="nil"/>
              <w:bottom w:val="nil"/>
              <w:right w:val="nil"/>
            </w:tcBorders>
            <w:noWrap w:val="0"/>
            <w:vAlign w:val="center"/>
          </w:tcPr>
          <w:p w14:paraId="4B856D2A">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XX保险集团集中度风险指标统计表-保险业务集中度</w:t>
            </w:r>
          </w:p>
        </w:tc>
      </w:tr>
      <w:tr w14:paraId="1B01F723">
        <w:trPr>
          <w:gridBefore w:val="1"/>
          <w:gridAfter w:val="1"/>
          <w:wBefore w:w="149" w:type="dxa"/>
          <w:wAfter w:w="256" w:type="dxa"/>
          <w:trHeight w:val="315" w:hRule="atLeast"/>
        </w:trPr>
        <w:tc>
          <w:tcPr>
            <w:tcW w:w="14445" w:type="dxa"/>
            <w:gridSpan w:val="17"/>
            <w:tcBorders>
              <w:top w:val="nil"/>
              <w:left w:val="nil"/>
              <w:bottom w:val="nil"/>
              <w:right w:val="nil"/>
            </w:tcBorders>
            <w:noWrap w:val="0"/>
            <w:vAlign w:val="center"/>
          </w:tcPr>
          <w:p w14:paraId="2C05420E">
            <w:pPr>
              <w:keepNext w:val="0"/>
              <w:keepLines w:val="0"/>
              <w:pageBreakBefore w:val="0"/>
              <w:widowControl/>
              <w:suppressLineNumbers w:val="0"/>
              <w:kinsoku/>
              <w:wordWrap/>
              <w:overflowPunct/>
              <w:topLinePunct w:val="0"/>
              <w:autoSpaceDE/>
              <w:autoSpaceDN/>
              <w:bidi w:val="0"/>
              <w:adjustRightInd/>
              <w:snapToGrid/>
              <w:spacing w:line="100" w:lineRule="exact"/>
              <w:jc w:val="center"/>
              <w:textAlignment w:val="center"/>
              <w:rPr>
                <w:rFonts w:hint="eastAsia" w:ascii="方正小标宋简体" w:hAnsi="方正小标宋简体" w:eastAsia="方正小标宋简体" w:cs="方正小标宋简体"/>
                <w:i w:val="0"/>
                <w:iCs w:val="0"/>
                <w:color w:val="000000"/>
                <w:kern w:val="0"/>
                <w:sz w:val="28"/>
                <w:szCs w:val="28"/>
                <w:u w:val="none"/>
                <w:lang w:val="en-US" w:eastAsia="zh-CN" w:bidi="ar"/>
              </w:rPr>
            </w:pPr>
          </w:p>
        </w:tc>
      </w:tr>
      <w:tr w14:paraId="5B85B688">
        <w:trPr>
          <w:gridBefore w:val="1"/>
          <w:gridAfter w:val="1"/>
          <w:wBefore w:w="149" w:type="dxa"/>
          <w:wAfter w:w="256" w:type="dxa"/>
          <w:trHeight w:val="285" w:hRule="atLeast"/>
        </w:trPr>
        <w:tc>
          <w:tcPr>
            <w:tcW w:w="14445" w:type="dxa"/>
            <w:gridSpan w:val="17"/>
            <w:tcBorders>
              <w:top w:val="nil"/>
              <w:left w:val="nil"/>
              <w:bottom w:val="nil"/>
              <w:right w:val="nil"/>
            </w:tcBorders>
            <w:noWrap w:val="0"/>
            <w:vAlign w:val="center"/>
          </w:tcPr>
          <w:p w14:paraId="36319FDC">
            <w:pPr>
              <w:keepNext w:val="0"/>
              <w:keepLines w:val="0"/>
              <w:widowControl/>
              <w:suppressLineNumbers w:val="0"/>
              <w:jc w:val="center"/>
              <w:textAlignment w:val="center"/>
              <w:rPr>
                <w:rFonts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 xml:space="preserve">                                           报告日期： 年 月 日                                  单位：亿元</w:t>
            </w:r>
          </w:p>
        </w:tc>
      </w:tr>
      <w:tr w14:paraId="0C8775C5">
        <w:trPr>
          <w:gridBefore w:val="1"/>
          <w:gridAfter w:val="1"/>
          <w:wBefore w:w="149" w:type="dxa"/>
          <w:wAfter w:w="256" w:type="dxa"/>
          <w:trHeight w:val="285" w:hRule="atLeast"/>
        </w:trPr>
        <w:tc>
          <w:tcPr>
            <w:tcW w:w="21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33603E">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集团名称</w:t>
            </w:r>
          </w:p>
        </w:tc>
        <w:tc>
          <w:tcPr>
            <w:tcW w:w="6135" w:type="dxa"/>
            <w:gridSpan w:val="7"/>
            <w:tcBorders>
              <w:top w:val="single" w:color="000000" w:sz="4" w:space="0"/>
              <w:left w:val="single" w:color="000000" w:sz="4" w:space="0"/>
              <w:bottom w:val="single" w:color="000000" w:sz="4" w:space="0"/>
              <w:right w:val="single" w:color="000000" w:sz="4" w:space="0"/>
            </w:tcBorders>
            <w:noWrap w:val="0"/>
            <w:vAlign w:val="center"/>
          </w:tcPr>
          <w:p w14:paraId="3AE2F101">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单一再保险交易对手集中度</w:t>
            </w:r>
          </w:p>
        </w:tc>
        <w:tc>
          <w:tcPr>
            <w:tcW w:w="6135" w:type="dxa"/>
            <w:gridSpan w:val="7"/>
            <w:tcBorders>
              <w:top w:val="single" w:color="000000" w:sz="4" w:space="0"/>
              <w:left w:val="single" w:color="000000" w:sz="4" w:space="0"/>
              <w:bottom w:val="single" w:color="000000" w:sz="4" w:space="0"/>
              <w:right w:val="single" w:color="000000" w:sz="4" w:space="0"/>
            </w:tcBorders>
            <w:noWrap w:val="0"/>
            <w:vAlign w:val="center"/>
          </w:tcPr>
          <w:p w14:paraId="667563E6">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单一境外承保保费区域集中度</w:t>
            </w:r>
          </w:p>
        </w:tc>
      </w:tr>
      <w:tr w14:paraId="5A614DE7">
        <w:trPr>
          <w:gridBefore w:val="1"/>
          <w:gridAfter w:val="1"/>
          <w:wBefore w:w="149" w:type="dxa"/>
          <w:wAfter w:w="256" w:type="dxa"/>
          <w:trHeight w:val="980" w:hRule="atLeast"/>
        </w:trPr>
        <w:tc>
          <w:tcPr>
            <w:tcW w:w="21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291629A">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6F8695A9">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前五大再保险交易对手</w:t>
            </w: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513E33CE">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指标值%</w:t>
            </w:r>
            <w:r>
              <w:rPr>
                <w:rFonts w:hint="eastAsia" w:ascii="仿宋_GB2312" w:hAnsi="等线" w:eastAsia="仿宋_GB2312" w:cs="仿宋_GB2312"/>
                <w:b w:val="0"/>
                <w:bCs w:val="0"/>
                <w:i w:val="0"/>
                <w:iCs w:val="0"/>
                <w:color w:val="000000"/>
                <w:kern w:val="0"/>
                <w:sz w:val="21"/>
                <w:szCs w:val="21"/>
                <w:u w:val="none"/>
                <w:lang w:val="en-US" w:eastAsia="zh-CN" w:bidi="ar"/>
              </w:rPr>
              <w:br w:type="textWrapping"/>
            </w:r>
            <w:r>
              <w:rPr>
                <w:rFonts w:hint="eastAsia" w:ascii="仿宋_GB2312" w:hAnsi="等线" w:eastAsia="仿宋_GB2312" w:cs="仿宋_GB2312"/>
                <w:b w:val="0"/>
                <w:bCs w:val="0"/>
                <w:i w:val="0"/>
                <w:iCs w:val="0"/>
                <w:color w:val="000000"/>
                <w:kern w:val="0"/>
                <w:sz w:val="21"/>
                <w:szCs w:val="21"/>
                <w:u w:val="none"/>
                <w:lang w:val="en-US" w:eastAsia="zh-CN" w:bidi="ar"/>
              </w:rPr>
              <w:t>（单一再保险交易对手风险暴露/上一年末合并净资产)</w:t>
            </w: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6C6077E8">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前五大境外承保保费区域</w:t>
            </w: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460E6DC0">
            <w:pPr>
              <w:keepNext w:val="0"/>
              <w:keepLines w:val="0"/>
              <w:widowControl/>
              <w:suppressLineNumbers w:val="0"/>
              <w:jc w:val="center"/>
              <w:textAlignment w:val="center"/>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kern w:val="0"/>
                <w:sz w:val="21"/>
                <w:szCs w:val="21"/>
                <w:u w:val="none"/>
                <w:lang w:val="en-US" w:eastAsia="zh-CN" w:bidi="ar"/>
              </w:rPr>
              <w:t>指标值%</w:t>
            </w:r>
            <w:r>
              <w:rPr>
                <w:rFonts w:hint="eastAsia" w:ascii="仿宋_GB2312" w:hAnsi="等线" w:eastAsia="仿宋_GB2312" w:cs="仿宋_GB2312"/>
                <w:b w:val="0"/>
                <w:bCs w:val="0"/>
                <w:i w:val="0"/>
                <w:iCs w:val="0"/>
                <w:color w:val="000000"/>
                <w:kern w:val="0"/>
                <w:sz w:val="21"/>
                <w:szCs w:val="21"/>
                <w:u w:val="none"/>
                <w:lang w:val="en-US" w:eastAsia="zh-CN" w:bidi="ar"/>
              </w:rPr>
              <w:br w:type="textWrapping"/>
            </w:r>
            <w:r>
              <w:rPr>
                <w:rFonts w:hint="eastAsia" w:ascii="仿宋_GB2312" w:hAnsi="等线" w:eastAsia="仿宋_GB2312" w:cs="仿宋_GB2312"/>
                <w:b w:val="0"/>
                <w:bCs w:val="0"/>
                <w:i w:val="0"/>
                <w:iCs w:val="0"/>
                <w:color w:val="000000"/>
                <w:kern w:val="0"/>
                <w:sz w:val="21"/>
                <w:szCs w:val="21"/>
                <w:u w:val="none"/>
                <w:lang w:val="en-US" w:eastAsia="zh-CN" w:bidi="ar"/>
              </w:rPr>
              <w:t>（单一境外区域保费收入/上一年集团合并保费收入)</w:t>
            </w:r>
          </w:p>
        </w:tc>
      </w:tr>
      <w:tr w14:paraId="01D846FD">
        <w:trPr>
          <w:gridBefore w:val="1"/>
          <w:gridAfter w:val="1"/>
          <w:wBefore w:w="149" w:type="dxa"/>
          <w:wAfter w:w="256" w:type="dxa"/>
          <w:trHeight w:val="270" w:hRule="atLeast"/>
        </w:trPr>
        <w:tc>
          <w:tcPr>
            <w:tcW w:w="21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697DB16">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60EDD9E7">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2F586FBB">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10501DF3">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0B80B1D1">
            <w:pPr>
              <w:jc w:val="center"/>
              <w:rPr>
                <w:rFonts w:hint="eastAsia" w:ascii="仿宋_GB2312" w:hAnsi="等线" w:eastAsia="仿宋_GB2312" w:cs="仿宋_GB2312"/>
                <w:b w:val="0"/>
                <w:bCs w:val="0"/>
                <w:i w:val="0"/>
                <w:iCs w:val="0"/>
                <w:color w:val="000000"/>
                <w:sz w:val="21"/>
                <w:szCs w:val="21"/>
                <w:u w:val="none"/>
              </w:rPr>
            </w:pPr>
          </w:p>
        </w:tc>
      </w:tr>
      <w:tr w14:paraId="34A8B1E6">
        <w:trPr>
          <w:gridBefore w:val="1"/>
          <w:gridAfter w:val="1"/>
          <w:wBefore w:w="149" w:type="dxa"/>
          <w:wAfter w:w="256" w:type="dxa"/>
          <w:trHeight w:val="270" w:hRule="atLeast"/>
        </w:trPr>
        <w:tc>
          <w:tcPr>
            <w:tcW w:w="21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5AAE8A2">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187F7B38">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50B0808F">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3FC0A357">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114930BD">
            <w:pPr>
              <w:jc w:val="center"/>
              <w:rPr>
                <w:rFonts w:hint="eastAsia" w:ascii="仿宋_GB2312" w:hAnsi="等线" w:eastAsia="仿宋_GB2312" w:cs="仿宋_GB2312"/>
                <w:b w:val="0"/>
                <w:bCs w:val="0"/>
                <w:i w:val="0"/>
                <w:iCs w:val="0"/>
                <w:color w:val="000000"/>
                <w:sz w:val="21"/>
                <w:szCs w:val="21"/>
                <w:u w:val="none"/>
              </w:rPr>
            </w:pPr>
          </w:p>
        </w:tc>
      </w:tr>
      <w:tr w14:paraId="7243D135">
        <w:trPr>
          <w:gridBefore w:val="1"/>
          <w:gridAfter w:val="1"/>
          <w:wBefore w:w="149" w:type="dxa"/>
          <w:wAfter w:w="256" w:type="dxa"/>
          <w:trHeight w:val="270" w:hRule="atLeast"/>
        </w:trPr>
        <w:tc>
          <w:tcPr>
            <w:tcW w:w="21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F044505">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5F55A158">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0293DE8E">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single" w:color="000000" w:sz="4" w:space="0"/>
              <w:bottom w:val="single" w:color="000000" w:sz="4" w:space="0"/>
              <w:right w:val="single" w:color="000000" w:sz="4" w:space="0"/>
            </w:tcBorders>
            <w:noWrap w:val="0"/>
            <w:vAlign w:val="center"/>
          </w:tcPr>
          <w:p w14:paraId="6DEE3100">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single" w:color="000000" w:sz="4" w:space="0"/>
              <w:bottom w:val="single" w:color="000000" w:sz="4" w:space="0"/>
              <w:right w:val="single" w:color="000000" w:sz="4" w:space="0"/>
            </w:tcBorders>
            <w:noWrap w:val="0"/>
            <w:vAlign w:val="center"/>
          </w:tcPr>
          <w:p w14:paraId="0810040C">
            <w:pPr>
              <w:jc w:val="center"/>
              <w:rPr>
                <w:rFonts w:hint="eastAsia" w:ascii="仿宋_GB2312" w:hAnsi="等线" w:eastAsia="仿宋_GB2312" w:cs="仿宋_GB2312"/>
                <w:b w:val="0"/>
                <w:bCs w:val="0"/>
                <w:i w:val="0"/>
                <w:iCs w:val="0"/>
                <w:color w:val="000000"/>
                <w:sz w:val="21"/>
                <w:szCs w:val="21"/>
                <w:u w:val="none"/>
              </w:rPr>
            </w:pPr>
          </w:p>
        </w:tc>
      </w:tr>
      <w:tr w14:paraId="09319F19">
        <w:trPr>
          <w:gridBefore w:val="1"/>
          <w:gridAfter w:val="1"/>
          <w:wBefore w:w="149" w:type="dxa"/>
          <w:wAfter w:w="256" w:type="dxa"/>
          <w:trHeight w:val="282" w:hRule="atLeast"/>
        </w:trPr>
        <w:tc>
          <w:tcPr>
            <w:tcW w:w="2175" w:type="dxa"/>
            <w:gridSpan w:val="3"/>
            <w:tcBorders>
              <w:top w:val="single" w:color="000000" w:sz="4" w:space="0"/>
              <w:left w:val="nil"/>
              <w:bottom w:val="nil"/>
              <w:right w:val="nil"/>
            </w:tcBorders>
            <w:noWrap w:val="0"/>
            <w:vAlign w:val="center"/>
          </w:tcPr>
          <w:p w14:paraId="2F7C7658">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nil"/>
              <w:bottom w:val="nil"/>
              <w:right w:val="nil"/>
            </w:tcBorders>
            <w:noWrap w:val="0"/>
            <w:vAlign w:val="center"/>
          </w:tcPr>
          <w:p w14:paraId="602A646C">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nil"/>
              <w:bottom w:val="nil"/>
              <w:right w:val="nil"/>
            </w:tcBorders>
            <w:noWrap w:val="0"/>
            <w:vAlign w:val="center"/>
          </w:tcPr>
          <w:p w14:paraId="46BAE033">
            <w:pPr>
              <w:jc w:val="center"/>
              <w:rPr>
                <w:rFonts w:hint="eastAsia" w:ascii="仿宋_GB2312" w:hAnsi="等线" w:eastAsia="仿宋_GB2312" w:cs="仿宋_GB2312"/>
                <w:b w:val="0"/>
                <w:bCs w:val="0"/>
                <w:i w:val="0"/>
                <w:iCs w:val="0"/>
                <w:color w:val="000000"/>
                <w:sz w:val="21"/>
                <w:szCs w:val="21"/>
                <w:u w:val="none"/>
              </w:rPr>
            </w:pPr>
          </w:p>
        </w:tc>
        <w:tc>
          <w:tcPr>
            <w:tcW w:w="1815" w:type="dxa"/>
            <w:gridSpan w:val="3"/>
            <w:tcBorders>
              <w:top w:val="single" w:color="000000" w:sz="4" w:space="0"/>
              <w:left w:val="nil"/>
              <w:bottom w:val="nil"/>
              <w:right w:val="nil"/>
            </w:tcBorders>
            <w:noWrap w:val="0"/>
            <w:vAlign w:val="center"/>
          </w:tcPr>
          <w:p w14:paraId="72D4C240">
            <w:pPr>
              <w:jc w:val="center"/>
              <w:rPr>
                <w:rFonts w:hint="eastAsia" w:ascii="仿宋_GB2312" w:hAnsi="等线" w:eastAsia="仿宋_GB2312" w:cs="仿宋_GB2312"/>
                <w:b w:val="0"/>
                <w:bCs w:val="0"/>
                <w:i w:val="0"/>
                <w:iCs w:val="0"/>
                <w:color w:val="000000"/>
                <w:sz w:val="21"/>
                <w:szCs w:val="21"/>
                <w:u w:val="none"/>
              </w:rPr>
            </w:pPr>
          </w:p>
        </w:tc>
        <w:tc>
          <w:tcPr>
            <w:tcW w:w="4320" w:type="dxa"/>
            <w:gridSpan w:val="4"/>
            <w:tcBorders>
              <w:top w:val="single" w:color="000000" w:sz="4" w:space="0"/>
              <w:left w:val="nil"/>
              <w:bottom w:val="nil"/>
              <w:right w:val="nil"/>
            </w:tcBorders>
            <w:noWrap w:val="0"/>
            <w:vAlign w:val="center"/>
          </w:tcPr>
          <w:p w14:paraId="572D84AC">
            <w:pPr>
              <w:jc w:val="center"/>
              <w:rPr>
                <w:rFonts w:hint="eastAsia" w:ascii="仿宋_GB2312" w:hAnsi="等线" w:eastAsia="仿宋_GB2312" w:cs="仿宋_GB2312"/>
                <w:b w:val="0"/>
                <w:bCs w:val="0"/>
                <w:i w:val="0"/>
                <w:iCs w:val="0"/>
                <w:color w:val="000000"/>
                <w:sz w:val="21"/>
                <w:szCs w:val="21"/>
                <w:u w:val="none"/>
              </w:rPr>
            </w:pPr>
          </w:p>
        </w:tc>
      </w:tr>
      <w:tr w14:paraId="17AB5815">
        <w:trPr>
          <w:gridBefore w:val="1"/>
          <w:gridAfter w:val="1"/>
          <w:wBefore w:w="149" w:type="dxa"/>
          <w:wAfter w:w="256" w:type="dxa"/>
          <w:trHeight w:val="270" w:hRule="atLeast"/>
        </w:trPr>
        <w:tc>
          <w:tcPr>
            <w:tcW w:w="14445" w:type="dxa"/>
            <w:gridSpan w:val="17"/>
            <w:tcBorders>
              <w:top w:val="nil"/>
              <w:left w:val="nil"/>
              <w:bottom w:val="nil"/>
              <w:right w:val="nil"/>
            </w:tcBorders>
            <w:noWrap w:val="0"/>
            <w:vAlign w:val="center"/>
          </w:tcPr>
          <w:p w14:paraId="50B18419">
            <w:pPr>
              <w:jc w:val="left"/>
              <w:rPr>
                <w:rFonts w:hint="eastAsia" w:ascii="仿宋_GB2312" w:hAnsi="等线" w:eastAsia="仿宋_GB2312" w:cs="仿宋_GB2312"/>
                <w:b w:val="0"/>
                <w:bCs w:val="0"/>
                <w:i w:val="0"/>
                <w:iCs w:val="0"/>
                <w:color w:val="000000"/>
                <w:sz w:val="21"/>
                <w:szCs w:val="21"/>
                <w:u w:val="none"/>
              </w:rPr>
            </w:pPr>
            <w:r>
              <w:rPr>
                <w:rFonts w:hint="eastAsia" w:ascii="仿宋_GB2312" w:hAnsi="等线" w:eastAsia="仿宋_GB2312" w:cs="仿宋_GB2312"/>
                <w:b w:val="0"/>
                <w:bCs w:val="0"/>
                <w:i w:val="0"/>
                <w:iCs w:val="0"/>
                <w:color w:val="000000"/>
                <w:sz w:val="21"/>
                <w:szCs w:val="21"/>
                <w:u w:val="none"/>
              </w:rPr>
              <w:t>备注：“再保险交易对手风险暴露”计算口径为保险集团所属保险子公司根据偿二代信用风险最低资本计算规则计算的再保分出业务交易对手违约风险暴露（不含集团内部交易对手）。</w:t>
            </w:r>
          </w:p>
        </w:tc>
      </w:tr>
    </w:tbl>
    <w:p w14:paraId="709B0C13">
      <w:pPr>
        <w:rPr>
          <w:rFonts w:hint="eastAsia" w:eastAsia="宋体"/>
          <w:lang w:eastAsia="zh-CN"/>
        </w:rPr>
      </w:pPr>
    </w:p>
    <w:sectPr>
      <w:footerReference r:id="rId3" w:type="default"/>
      <w:pgSz w:w="16838" w:h="11906" w:orient="landscape"/>
      <w:pgMar w:top="1587" w:right="1967" w:bottom="1474" w:left="1899" w:header="851" w:footer="992" w:gutter="0"/>
      <w:pgBorders>
        <w:top w:val="none" w:sz="0" w:space="0"/>
        <w:left w:val="none" w:sz="0" w:space="0"/>
        <w:bottom w:val="none" w:sz="0" w:space="0"/>
        <w:right w:val="none" w:sz="0" w:space="0"/>
      </w:pgBorders>
      <w:pgNumType w:fmt="decimal" w:start="1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黑体">
    <w:altName w:val="汉仪中黑KW"/>
    <w:panose1 w:val="02010609060101010101"/>
    <w:charset w:val="00"/>
    <w:family w:val="auto"/>
    <w:pitch w:val="default"/>
    <w:sig w:usb0="800002BF" w:usb1="38CF7CFA" w:usb2="00000016" w:usb3="00000000" w:csb0="00040001" w:csb1="00000000"/>
  </w:font>
  <w:font w:name="方正小标宋简体">
    <w:altName w:val="汉仪书宋二KW"/>
    <w:panose1 w:val="03000509000000000000"/>
    <w:charset w:val="00"/>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altName w:val="汉仪中等线KW"/>
    <w:panose1 w:val="00000000000000000000"/>
    <w:charset w:val="00"/>
    <w:family w:val="auto"/>
    <w:pitch w:val="default"/>
    <w:sig w:usb0="00000000" w:usb1="00000000"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A268">
    <w:pPr>
      <w:pStyle w:val="2"/>
      <w:rPr>
        <w:rFonts w:hint="eastAsia" w:eastAsia="宋体"/>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FD8CF1"/>
    <w:rsid w:val="0B97FC34"/>
    <w:rsid w:val="0DBF5228"/>
    <w:rsid w:val="0DF7737E"/>
    <w:rsid w:val="10FE5341"/>
    <w:rsid w:val="1325E80E"/>
    <w:rsid w:val="17A0BD62"/>
    <w:rsid w:val="1BECC11D"/>
    <w:rsid w:val="1BFEC479"/>
    <w:rsid w:val="1D7F34BA"/>
    <w:rsid w:val="1EB74CD0"/>
    <w:rsid w:val="1F35C805"/>
    <w:rsid w:val="1F368827"/>
    <w:rsid w:val="1FDF9A65"/>
    <w:rsid w:val="1FF6945F"/>
    <w:rsid w:val="277F98D7"/>
    <w:rsid w:val="278F8A70"/>
    <w:rsid w:val="2DED0A9E"/>
    <w:rsid w:val="2EFAAE45"/>
    <w:rsid w:val="2F591528"/>
    <w:rsid w:val="2FEE6959"/>
    <w:rsid w:val="2FFD8FE0"/>
    <w:rsid w:val="31FF0927"/>
    <w:rsid w:val="35FF9ED3"/>
    <w:rsid w:val="37B837EB"/>
    <w:rsid w:val="37D182D8"/>
    <w:rsid w:val="37F939E3"/>
    <w:rsid w:val="37FE15AE"/>
    <w:rsid w:val="3B5806E1"/>
    <w:rsid w:val="3D1F1A8D"/>
    <w:rsid w:val="3DD5B784"/>
    <w:rsid w:val="3DED2662"/>
    <w:rsid w:val="3DFD8CF1"/>
    <w:rsid w:val="3F4F7ABC"/>
    <w:rsid w:val="3F784BE5"/>
    <w:rsid w:val="3F9569DC"/>
    <w:rsid w:val="3F9B393D"/>
    <w:rsid w:val="3FBB5CFC"/>
    <w:rsid w:val="3FBB7A28"/>
    <w:rsid w:val="3FC7CF29"/>
    <w:rsid w:val="3FE76EF5"/>
    <w:rsid w:val="3FEF7F52"/>
    <w:rsid w:val="3FF709DD"/>
    <w:rsid w:val="3FF73CC9"/>
    <w:rsid w:val="438DD063"/>
    <w:rsid w:val="457B16FC"/>
    <w:rsid w:val="4A7D6017"/>
    <w:rsid w:val="4AF868F0"/>
    <w:rsid w:val="4CBDF4CE"/>
    <w:rsid w:val="4EBF3FEC"/>
    <w:rsid w:val="4F534048"/>
    <w:rsid w:val="4FBDB26E"/>
    <w:rsid w:val="4FEE0875"/>
    <w:rsid w:val="527DC8FE"/>
    <w:rsid w:val="57E7A364"/>
    <w:rsid w:val="57F70680"/>
    <w:rsid w:val="5969E874"/>
    <w:rsid w:val="5A5D9870"/>
    <w:rsid w:val="5DE75676"/>
    <w:rsid w:val="5DEF8C2D"/>
    <w:rsid w:val="5EAF7B15"/>
    <w:rsid w:val="5F9D5B57"/>
    <w:rsid w:val="5FD5A25B"/>
    <w:rsid w:val="5FEF95EA"/>
    <w:rsid w:val="5FF91295"/>
    <w:rsid w:val="5FFA5989"/>
    <w:rsid w:val="5FFD78A2"/>
    <w:rsid w:val="5FFFCD66"/>
    <w:rsid w:val="61FFA80D"/>
    <w:rsid w:val="66F68B3F"/>
    <w:rsid w:val="670E02B0"/>
    <w:rsid w:val="67FB16D3"/>
    <w:rsid w:val="68DF3AC0"/>
    <w:rsid w:val="6A678676"/>
    <w:rsid w:val="6AB7816B"/>
    <w:rsid w:val="6BE616D7"/>
    <w:rsid w:val="6CFE8F98"/>
    <w:rsid w:val="6D3D1C7A"/>
    <w:rsid w:val="6D6F4FBC"/>
    <w:rsid w:val="6DD79CFA"/>
    <w:rsid w:val="6DF6592F"/>
    <w:rsid w:val="6DFB5ADA"/>
    <w:rsid w:val="6DFFBDBA"/>
    <w:rsid w:val="6EEB3D79"/>
    <w:rsid w:val="6EFE5539"/>
    <w:rsid w:val="6EFF8DA1"/>
    <w:rsid w:val="6F3D1C59"/>
    <w:rsid w:val="6F67CFB1"/>
    <w:rsid w:val="6FB737A5"/>
    <w:rsid w:val="6FBF8D1F"/>
    <w:rsid w:val="6FDDCB6E"/>
    <w:rsid w:val="6FDFC5D7"/>
    <w:rsid w:val="6FE93814"/>
    <w:rsid w:val="6FF55CAA"/>
    <w:rsid w:val="6FF7E5F8"/>
    <w:rsid w:val="6FFEF82B"/>
    <w:rsid w:val="6FFF0B10"/>
    <w:rsid w:val="72BB4DEA"/>
    <w:rsid w:val="72FF1611"/>
    <w:rsid w:val="73C76747"/>
    <w:rsid w:val="73F4865D"/>
    <w:rsid w:val="75FBD0A0"/>
    <w:rsid w:val="777DD5FB"/>
    <w:rsid w:val="77DE0BBD"/>
    <w:rsid w:val="77DFB759"/>
    <w:rsid w:val="77FE7E59"/>
    <w:rsid w:val="77FF64D6"/>
    <w:rsid w:val="793BC87E"/>
    <w:rsid w:val="7A3FA831"/>
    <w:rsid w:val="7AFEA213"/>
    <w:rsid w:val="7BD2B8E0"/>
    <w:rsid w:val="7BDB3C8D"/>
    <w:rsid w:val="7BDC5DCF"/>
    <w:rsid w:val="7BF994C2"/>
    <w:rsid w:val="7BFFD025"/>
    <w:rsid w:val="7C6F7774"/>
    <w:rsid w:val="7CDE476D"/>
    <w:rsid w:val="7CF7DF6C"/>
    <w:rsid w:val="7D3B7F44"/>
    <w:rsid w:val="7D5E65FB"/>
    <w:rsid w:val="7D6DFF99"/>
    <w:rsid w:val="7D775302"/>
    <w:rsid w:val="7DDF8138"/>
    <w:rsid w:val="7DE5CEE3"/>
    <w:rsid w:val="7DEAB62D"/>
    <w:rsid w:val="7DFECDC8"/>
    <w:rsid w:val="7EBB552E"/>
    <w:rsid w:val="7EFF3914"/>
    <w:rsid w:val="7F3FBA76"/>
    <w:rsid w:val="7F462280"/>
    <w:rsid w:val="7F5F30BB"/>
    <w:rsid w:val="7F730376"/>
    <w:rsid w:val="7F7E29AA"/>
    <w:rsid w:val="7F8FCF46"/>
    <w:rsid w:val="7F9F6B07"/>
    <w:rsid w:val="7FAE1E18"/>
    <w:rsid w:val="7FB74E0F"/>
    <w:rsid w:val="7FB79BFD"/>
    <w:rsid w:val="7FB8A681"/>
    <w:rsid w:val="7FCF938C"/>
    <w:rsid w:val="7FD3FD73"/>
    <w:rsid w:val="7FDD2ACD"/>
    <w:rsid w:val="7FE71390"/>
    <w:rsid w:val="7FF3499A"/>
    <w:rsid w:val="7FF377B5"/>
    <w:rsid w:val="7FF7095E"/>
    <w:rsid w:val="7FFB497B"/>
    <w:rsid w:val="7FFEEA13"/>
    <w:rsid w:val="7FFF64D8"/>
    <w:rsid w:val="7FFFCEAA"/>
    <w:rsid w:val="88EFFAB0"/>
    <w:rsid w:val="8CC2FE3C"/>
    <w:rsid w:val="8F9B8C91"/>
    <w:rsid w:val="93FDF16E"/>
    <w:rsid w:val="9A3CB3F3"/>
    <w:rsid w:val="9BFFA566"/>
    <w:rsid w:val="9D7F6711"/>
    <w:rsid w:val="A07F90C9"/>
    <w:rsid w:val="A3BDC2AA"/>
    <w:rsid w:val="A6EDD96A"/>
    <w:rsid w:val="A7F8D22B"/>
    <w:rsid w:val="A7FCB869"/>
    <w:rsid w:val="AB70A8F3"/>
    <w:rsid w:val="AEE7E74C"/>
    <w:rsid w:val="AFF11CCF"/>
    <w:rsid w:val="AFFDC6A3"/>
    <w:rsid w:val="AFFEA675"/>
    <w:rsid w:val="B2DBBA43"/>
    <w:rsid w:val="B3B99CB6"/>
    <w:rsid w:val="B3EF2777"/>
    <w:rsid w:val="B3FDDDFA"/>
    <w:rsid w:val="B3FF4066"/>
    <w:rsid w:val="B6DEF6CC"/>
    <w:rsid w:val="B6FBB76B"/>
    <w:rsid w:val="B75FF55F"/>
    <w:rsid w:val="B7A7157C"/>
    <w:rsid w:val="B7DC1935"/>
    <w:rsid w:val="B7E37D26"/>
    <w:rsid w:val="B90F2028"/>
    <w:rsid w:val="B9E47DBA"/>
    <w:rsid w:val="BA646F1B"/>
    <w:rsid w:val="BAF7C976"/>
    <w:rsid w:val="BB7B23B4"/>
    <w:rsid w:val="BB7E0BAA"/>
    <w:rsid w:val="BBB75736"/>
    <w:rsid w:val="BBD25CB3"/>
    <w:rsid w:val="BBE7A315"/>
    <w:rsid w:val="BDB2E56C"/>
    <w:rsid w:val="BDF639F8"/>
    <w:rsid w:val="BEB577AF"/>
    <w:rsid w:val="BEE9554A"/>
    <w:rsid w:val="BF85882C"/>
    <w:rsid w:val="BFCFB241"/>
    <w:rsid w:val="BFFB419F"/>
    <w:rsid w:val="BFFF8857"/>
    <w:rsid w:val="CB7F9D6C"/>
    <w:rsid w:val="CF1F42DE"/>
    <w:rsid w:val="CFA39425"/>
    <w:rsid w:val="CFBF1C79"/>
    <w:rsid w:val="CFD6F23A"/>
    <w:rsid w:val="CFDD7FC8"/>
    <w:rsid w:val="D3BA99C1"/>
    <w:rsid w:val="D3ED72CB"/>
    <w:rsid w:val="D3F7546F"/>
    <w:rsid w:val="D6B952B8"/>
    <w:rsid w:val="D7F68B67"/>
    <w:rsid w:val="D9DF4D70"/>
    <w:rsid w:val="DA4E7E13"/>
    <w:rsid w:val="DA5E8E90"/>
    <w:rsid w:val="DBBFE495"/>
    <w:rsid w:val="DD8CDCB2"/>
    <w:rsid w:val="DEF561F4"/>
    <w:rsid w:val="DFA58BF5"/>
    <w:rsid w:val="DFFCD1D9"/>
    <w:rsid w:val="DFFED0A2"/>
    <w:rsid w:val="DFFED55D"/>
    <w:rsid w:val="E26FBAC2"/>
    <w:rsid w:val="E3FF8D92"/>
    <w:rsid w:val="E677419F"/>
    <w:rsid w:val="E79F3322"/>
    <w:rsid w:val="E7F96F77"/>
    <w:rsid w:val="E9E83764"/>
    <w:rsid w:val="EDFF7C33"/>
    <w:rsid w:val="EEDF2A4C"/>
    <w:rsid w:val="EF5C2A9B"/>
    <w:rsid w:val="EF7F24EF"/>
    <w:rsid w:val="EF8FFAA5"/>
    <w:rsid w:val="EFFDE2BC"/>
    <w:rsid w:val="F0CFB1F2"/>
    <w:rsid w:val="F3BE25F9"/>
    <w:rsid w:val="F3DFDEBD"/>
    <w:rsid w:val="F3FF6810"/>
    <w:rsid w:val="F69D2AD4"/>
    <w:rsid w:val="F6CE0F5D"/>
    <w:rsid w:val="F6FF1C74"/>
    <w:rsid w:val="F767814F"/>
    <w:rsid w:val="F7A6A395"/>
    <w:rsid w:val="F7AF4828"/>
    <w:rsid w:val="F7BDDF38"/>
    <w:rsid w:val="F7BF89F4"/>
    <w:rsid w:val="F7DDE8BA"/>
    <w:rsid w:val="FA66EACB"/>
    <w:rsid w:val="FA7FB86B"/>
    <w:rsid w:val="FA7FD1C6"/>
    <w:rsid w:val="FABD58AF"/>
    <w:rsid w:val="FAF7DCCA"/>
    <w:rsid w:val="FB10DE09"/>
    <w:rsid w:val="FB5DBB60"/>
    <w:rsid w:val="FB770148"/>
    <w:rsid w:val="FB7DE716"/>
    <w:rsid w:val="FBF68ECF"/>
    <w:rsid w:val="FBF6A702"/>
    <w:rsid w:val="FBFB467D"/>
    <w:rsid w:val="FBFF95CA"/>
    <w:rsid w:val="FCA86402"/>
    <w:rsid w:val="FCBFC174"/>
    <w:rsid w:val="FCEAD386"/>
    <w:rsid w:val="FDB79F9E"/>
    <w:rsid w:val="FE5754E2"/>
    <w:rsid w:val="FE6F834E"/>
    <w:rsid w:val="FE7FF222"/>
    <w:rsid w:val="FE8B71A6"/>
    <w:rsid w:val="FE9F5762"/>
    <w:rsid w:val="FEAFAE86"/>
    <w:rsid w:val="FEFE3CE5"/>
    <w:rsid w:val="FF3E127F"/>
    <w:rsid w:val="FF3FA553"/>
    <w:rsid w:val="FF595095"/>
    <w:rsid w:val="FF664EE3"/>
    <w:rsid w:val="FF6E3001"/>
    <w:rsid w:val="FF771DE1"/>
    <w:rsid w:val="FF7A9EFF"/>
    <w:rsid w:val="FF7E24D9"/>
    <w:rsid w:val="FF7EDE22"/>
    <w:rsid w:val="FF9BBE0D"/>
    <w:rsid w:val="FFAF8277"/>
    <w:rsid w:val="FFBEC3F8"/>
    <w:rsid w:val="FFCA7C81"/>
    <w:rsid w:val="FFD04B21"/>
    <w:rsid w:val="FFD8A6D1"/>
    <w:rsid w:val="FFD8BD51"/>
    <w:rsid w:val="FFDDF3B1"/>
    <w:rsid w:val="FFE72452"/>
    <w:rsid w:val="FFEF610B"/>
    <w:rsid w:val="FFEFA07B"/>
    <w:rsid w:val="FFF1A3EF"/>
    <w:rsid w:val="FFFB8CAA"/>
    <w:rsid w:val="FFFD25B1"/>
    <w:rsid w:val="FFFF79E8"/>
    <w:rsid w:val="FFFFB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unhideWhenUsed/>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2025-02-09T10:51:00Z</dcterms:created>
  <dc:creator>刘颖</dc:creator>
  <cp:lastModifiedBy>彭云龙</cp:lastModifiedBy>
  <dcterms:modified xsi:type="dcterms:W3CDTF">2026-06-24T14:22:33Z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5629A927FD5D442998773B6A9E90B324_43</vt:lpwstr>
  </property>
</Properties>
</file>