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40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b w:val="0"/>
          <w:bCs/>
          <w:kern w:val="0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highlight w:val="none"/>
          <w:lang w:val="en-US" w:eastAsia="zh-CN"/>
        </w:rPr>
        <w:t>2</w:t>
      </w:r>
    </w:p>
    <w:p w14:paraId="2DA9EEC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left"/>
        <w:textAlignment w:val="auto"/>
        <w:rPr>
          <w:rFonts w:hint="eastAsia" w:ascii="仿宋_GB2312" w:hAnsi="黑体" w:eastAsia="仿宋_GB2312"/>
          <w:b w:val="0"/>
          <w:bCs/>
          <w:sz w:val="32"/>
          <w:szCs w:val="32"/>
          <w:highlight w:val="none"/>
        </w:rPr>
      </w:pPr>
    </w:p>
    <w:p w14:paraId="2345477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</w:rPr>
        <w:t>集中度风险管理情况报告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  <w:lang w:eastAsia="zh-CN"/>
        </w:rPr>
        <w:t>内容</w:t>
      </w:r>
    </w:p>
    <w:p w14:paraId="1FD0DB7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b w:val="0"/>
          <w:bCs/>
          <w:sz w:val="32"/>
          <w:szCs w:val="32"/>
          <w:highlight w:val="none"/>
        </w:rPr>
      </w:pPr>
    </w:p>
    <w:p w14:paraId="54E751B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一、集中度风险管理治理情况</w:t>
      </w:r>
    </w:p>
    <w:p w14:paraId="72553BB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b w:val="0"/>
          <w:bCs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</w:rPr>
        <w:t>包括</w:t>
      </w: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  <w:lang w:eastAsia="zh-CN"/>
        </w:rPr>
        <w:t>但</w:t>
      </w: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</w:rPr>
        <w:t>不限于：集团董事会及专业委员会、高级管理层、牵头部门和各相关职能部门，成员公司层面的治理架构与职责分工，以及集团董事会等履职情况。</w:t>
      </w:r>
    </w:p>
    <w:p w14:paraId="521E99B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二、集中度风险管理工作情况</w:t>
      </w:r>
    </w:p>
    <w:p w14:paraId="15227BD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b w:val="0"/>
          <w:bCs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</w:rPr>
        <w:t>包括</w:t>
      </w: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  <w:lang w:eastAsia="zh-CN"/>
        </w:rPr>
        <w:t>但</w:t>
      </w: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</w:rPr>
        <w:t>不限于：</w:t>
      </w:r>
    </w:p>
    <w:p w14:paraId="78BC57B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b w:val="0"/>
          <w:bCs/>
          <w:sz w:val="32"/>
          <w:szCs w:val="32"/>
          <w:highlight w:val="none"/>
        </w:rPr>
      </w:pPr>
      <w:r>
        <w:rPr>
          <w:rFonts w:ascii="仿宋_GB2312" w:hAnsi="黑体" w:eastAsia="仿宋_GB2312"/>
          <w:b w:val="0"/>
          <w:bCs/>
          <w:sz w:val="32"/>
          <w:szCs w:val="32"/>
          <w:highlight w:val="none"/>
        </w:rPr>
        <w:t>1.集中度风险</w:t>
      </w: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</w:rPr>
        <w:t>制度制定情况；</w:t>
      </w:r>
    </w:p>
    <w:p w14:paraId="4EB7CC0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b w:val="0"/>
          <w:bCs/>
          <w:sz w:val="32"/>
          <w:szCs w:val="32"/>
          <w:highlight w:val="none"/>
        </w:rPr>
      </w:pPr>
      <w:r>
        <w:rPr>
          <w:rFonts w:ascii="仿宋_GB2312" w:hAnsi="黑体" w:eastAsia="仿宋_GB2312"/>
          <w:b w:val="0"/>
          <w:bCs/>
          <w:sz w:val="32"/>
          <w:szCs w:val="32"/>
          <w:highlight w:val="none"/>
        </w:rPr>
        <w:t>2.</w:t>
      </w: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</w:rPr>
        <w:t>集中度风险限额设定和管理情况；</w:t>
      </w:r>
    </w:p>
    <w:p w14:paraId="033F712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b w:val="0"/>
          <w:bCs/>
          <w:sz w:val="32"/>
          <w:szCs w:val="32"/>
          <w:highlight w:val="none"/>
        </w:rPr>
      </w:pPr>
      <w:r>
        <w:rPr>
          <w:rFonts w:ascii="仿宋_GB2312" w:hAnsi="黑体" w:eastAsia="仿宋_GB2312"/>
          <w:b w:val="0"/>
          <w:bCs/>
          <w:sz w:val="32"/>
          <w:szCs w:val="32"/>
          <w:highlight w:val="none"/>
        </w:rPr>
        <w:t>3.集中度风险管理</w:t>
      </w: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</w:rPr>
        <w:t>识别、监测、预警、评估等执行情况；</w:t>
      </w:r>
    </w:p>
    <w:p w14:paraId="5946951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b w:val="0"/>
          <w:bCs/>
          <w:sz w:val="32"/>
          <w:szCs w:val="32"/>
          <w:highlight w:val="none"/>
        </w:rPr>
      </w:pPr>
      <w:r>
        <w:rPr>
          <w:rFonts w:ascii="仿宋_GB2312" w:hAnsi="黑体" w:eastAsia="仿宋_GB2312"/>
          <w:b w:val="0"/>
          <w:bCs/>
          <w:sz w:val="32"/>
          <w:szCs w:val="32"/>
          <w:highlight w:val="none"/>
        </w:rPr>
        <w:t>4.集中度风险数据系统</w:t>
      </w: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</w:rPr>
        <w:t>和报告披露情况</w:t>
      </w: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  <w:lang w:eastAsia="zh-CN"/>
        </w:rPr>
        <w:t>。</w:t>
      </w:r>
    </w:p>
    <w:p w14:paraId="6ACBCC4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三、集中度风险具体状况</w:t>
      </w:r>
    </w:p>
    <w:p w14:paraId="1003164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黑体" w:eastAsia="仿宋_GB2312"/>
          <w:b w:val="0"/>
          <w:bCs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</w:rPr>
        <w:t>包括</w:t>
      </w: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  <w:lang w:eastAsia="zh-CN"/>
        </w:rPr>
        <w:t>但</w:t>
      </w: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</w:rPr>
        <w:t>不限于：</w:t>
      </w:r>
    </w:p>
    <w:p w14:paraId="43F92C0E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eastAsia" w:ascii="仿宋_GB2312" w:hAnsi="黑体" w:eastAsia="仿宋_GB2312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  <w:lang w:eastAsia="zh-CN"/>
        </w:rPr>
        <w:t>分析评估</w:t>
      </w: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</w:rPr>
        <w:t>集团</w:t>
      </w: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  <w:lang w:eastAsia="zh-CN"/>
        </w:rPr>
        <w:t>集中度风险总体情况；</w:t>
      </w:r>
    </w:p>
    <w:p w14:paraId="5424D3BD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b w:val="0"/>
          <w:bCs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  <w:lang w:eastAsia="zh-CN"/>
        </w:rPr>
        <w:t>集团</w:t>
      </w: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</w:rPr>
        <w:t>各类集中度风险</w:t>
      </w: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  <w:lang w:eastAsia="zh-CN"/>
        </w:rPr>
        <w:t>评估，包括指标限额执行情况、对集团及相关成员公司偿付能力或经营稳健性的影响等；</w:t>
      </w:r>
    </w:p>
    <w:p w14:paraId="20CA007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b w:val="0"/>
          <w:bCs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  <w:lang w:val="en-US" w:eastAsia="zh-CN"/>
        </w:rPr>
        <w:t>3</w:t>
      </w:r>
      <w:r>
        <w:rPr>
          <w:rFonts w:ascii="仿宋_GB2312" w:hAnsi="黑体" w:eastAsia="仿宋_GB2312"/>
          <w:b w:val="0"/>
          <w:bCs/>
          <w:sz w:val="32"/>
          <w:szCs w:val="32"/>
          <w:highlight w:val="none"/>
        </w:rPr>
        <w:t>.</w:t>
      </w: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</w:rPr>
        <w:t>集团各类集中度风险重大事件及处置情况；</w:t>
      </w:r>
    </w:p>
    <w:p w14:paraId="58E3EE0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b w:val="0"/>
          <w:bCs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  <w:lang w:val="en-US" w:eastAsia="zh-CN"/>
        </w:rPr>
        <w:t>4</w:t>
      </w:r>
      <w:r>
        <w:rPr>
          <w:rFonts w:ascii="仿宋_GB2312" w:hAnsi="黑体" w:eastAsia="仿宋_GB2312"/>
          <w:b w:val="0"/>
          <w:bCs/>
          <w:sz w:val="32"/>
          <w:szCs w:val="32"/>
          <w:highlight w:val="none"/>
        </w:rPr>
        <w:t>.</w:t>
      </w: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</w:rPr>
        <w:t>集中度风险最低资本计量等情况</w:t>
      </w:r>
      <w:r>
        <w:rPr>
          <w:rFonts w:hint="eastAsia" w:ascii="仿宋_GB2312" w:hAnsi="黑体" w:eastAsia="仿宋_GB2312"/>
          <w:b w:val="0"/>
          <w:bCs/>
          <w:sz w:val="32"/>
          <w:szCs w:val="32"/>
          <w:highlight w:val="none"/>
          <w:lang w:eastAsia="zh-CN"/>
        </w:rPr>
        <w:t>。</w:t>
      </w:r>
    </w:p>
    <w:p w14:paraId="2EA75AA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四、集中度风险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eastAsia="zh-CN"/>
        </w:rPr>
        <w:t>管理存在的风险和问题</w:t>
      </w:r>
    </w:p>
    <w:p w14:paraId="336CE5FF">
      <w:pPr>
        <w:ind w:firstLine="640" w:firstLineChars="200"/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eastAsia="zh-CN"/>
        </w:rPr>
        <w:t>五、集团认为需要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报告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eastAsia="zh-CN"/>
        </w:rPr>
        <w:t>的其他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事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eastAsia="zh-CN"/>
        </w:rPr>
        <w:t>项</w:t>
      </w:r>
    </w:p>
    <w:sectPr>
      <w:footerReference r:id="rId3" w:type="default"/>
      <w:pgSz w:w="11906" w:h="16838"/>
      <w:pgMar w:top="1967" w:right="1474" w:bottom="1899" w:left="1587" w:header="851" w:footer="992" w:gutter="0"/>
      <w:pgNumType w:fmt="decimal" w:start="1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黑体">
    <w:altName w:val="汉仪中黑KW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汉仪书宋二KW"/>
    <w:panose1 w:val="03000509000000000000"/>
    <w:charset w:val="00"/>
    <w:family w:val="auto"/>
    <w:pitch w:val="default"/>
    <w:sig w:usb0="00000001" w:usb1="080E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D2D10C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39C231"/>
    <w:multiLevelType w:val="singleLevel"/>
    <w:tmpl w:val="6539C231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27FC58E"/>
    <w:rsid w:val="0B97FC34"/>
    <w:rsid w:val="0DBF5228"/>
    <w:rsid w:val="10FE5341"/>
    <w:rsid w:val="1325E80E"/>
    <w:rsid w:val="17A0BD62"/>
    <w:rsid w:val="1BECC11D"/>
    <w:rsid w:val="1BFEC479"/>
    <w:rsid w:val="1D7F34BA"/>
    <w:rsid w:val="1EB74CD0"/>
    <w:rsid w:val="1F35C805"/>
    <w:rsid w:val="1F368827"/>
    <w:rsid w:val="1FDF9A65"/>
    <w:rsid w:val="1FF6945F"/>
    <w:rsid w:val="277F98D7"/>
    <w:rsid w:val="278F8A70"/>
    <w:rsid w:val="2DED0A9E"/>
    <w:rsid w:val="2EFAAE45"/>
    <w:rsid w:val="2F591528"/>
    <w:rsid w:val="2FEE6959"/>
    <w:rsid w:val="2FFD8FE0"/>
    <w:rsid w:val="31FF0927"/>
    <w:rsid w:val="35FF9ED3"/>
    <w:rsid w:val="37D182D8"/>
    <w:rsid w:val="37F939E3"/>
    <w:rsid w:val="37FE15AE"/>
    <w:rsid w:val="38E74F16"/>
    <w:rsid w:val="3B5806E1"/>
    <w:rsid w:val="3D1F1A8D"/>
    <w:rsid w:val="3DD5B784"/>
    <w:rsid w:val="3DED2662"/>
    <w:rsid w:val="3F4F7ABC"/>
    <w:rsid w:val="3F784BE5"/>
    <w:rsid w:val="3F9569DC"/>
    <w:rsid w:val="3F9B393D"/>
    <w:rsid w:val="3FBB5CFC"/>
    <w:rsid w:val="3FBB7A28"/>
    <w:rsid w:val="3FC7CF29"/>
    <w:rsid w:val="3FE76EF5"/>
    <w:rsid w:val="3FEF7F52"/>
    <w:rsid w:val="3FF709DD"/>
    <w:rsid w:val="3FF73CC9"/>
    <w:rsid w:val="438DD063"/>
    <w:rsid w:val="457B16FC"/>
    <w:rsid w:val="4A7D6017"/>
    <w:rsid w:val="4AF868F0"/>
    <w:rsid w:val="4CBDF4CE"/>
    <w:rsid w:val="4EBF3FEC"/>
    <w:rsid w:val="4F534048"/>
    <w:rsid w:val="4FBDB26E"/>
    <w:rsid w:val="4FEE0875"/>
    <w:rsid w:val="527DC8FE"/>
    <w:rsid w:val="52F3392B"/>
    <w:rsid w:val="57E7A364"/>
    <w:rsid w:val="57F70680"/>
    <w:rsid w:val="5969E874"/>
    <w:rsid w:val="5DE75676"/>
    <w:rsid w:val="5DEF8C2D"/>
    <w:rsid w:val="5EAF7B15"/>
    <w:rsid w:val="5F9D5B57"/>
    <w:rsid w:val="5FD5A25B"/>
    <w:rsid w:val="5FEF95EA"/>
    <w:rsid w:val="5FF91295"/>
    <w:rsid w:val="5FFA5989"/>
    <w:rsid w:val="5FFD78A2"/>
    <w:rsid w:val="5FFFCD66"/>
    <w:rsid w:val="61FFA80D"/>
    <w:rsid w:val="66F68B3F"/>
    <w:rsid w:val="670E02B0"/>
    <w:rsid w:val="67FB16D3"/>
    <w:rsid w:val="68DF3AC0"/>
    <w:rsid w:val="6A678676"/>
    <w:rsid w:val="6AB7816B"/>
    <w:rsid w:val="6BE616D7"/>
    <w:rsid w:val="6CFE8F98"/>
    <w:rsid w:val="6D3D1C7A"/>
    <w:rsid w:val="6D6F4FBC"/>
    <w:rsid w:val="6DD79CFA"/>
    <w:rsid w:val="6DF6592F"/>
    <w:rsid w:val="6DFB5ADA"/>
    <w:rsid w:val="6DFFBDBA"/>
    <w:rsid w:val="6EEB3D79"/>
    <w:rsid w:val="6EFE5539"/>
    <w:rsid w:val="6EFF8DA1"/>
    <w:rsid w:val="6F3D1C59"/>
    <w:rsid w:val="6F67CFB1"/>
    <w:rsid w:val="6FB737A5"/>
    <w:rsid w:val="6FBF8D1F"/>
    <w:rsid w:val="6FDDCB6E"/>
    <w:rsid w:val="6FDFC5D7"/>
    <w:rsid w:val="6FE93814"/>
    <w:rsid w:val="6FF55CAA"/>
    <w:rsid w:val="6FF7E5F8"/>
    <w:rsid w:val="6FFEF82B"/>
    <w:rsid w:val="6FFF0B10"/>
    <w:rsid w:val="72BB4DEA"/>
    <w:rsid w:val="72FF1611"/>
    <w:rsid w:val="73F4865D"/>
    <w:rsid w:val="75FBD0A0"/>
    <w:rsid w:val="777DD5FB"/>
    <w:rsid w:val="77DE0BBD"/>
    <w:rsid w:val="77DFB759"/>
    <w:rsid w:val="77FE7E59"/>
    <w:rsid w:val="77FF64D6"/>
    <w:rsid w:val="793BC87E"/>
    <w:rsid w:val="7A3FA831"/>
    <w:rsid w:val="7AFEA213"/>
    <w:rsid w:val="7B3F2899"/>
    <w:rsid w:val="7BD2B8E0"/>
    <w:rsid w:val="7BDB3C8D"/>
    <w:rsid w:val="7BDC5DCF"/>
    <w:rsid w:val="7BF994C2"/>
    <w:rsid w:val="7BFFD025"/>
    <w:rsid w:val="7C6F7774"/>
    <w:rsid w:val="7CDE476D"/>
    <w:rsid w:val="7CF7DF6C"/>
    <w:rsid w:val="7D3B7F44"/>
    <w:rsid w:val="7D5E65FB"/>
    <w:rsid w:val="7D6DFF99"/>
    <w:rsid w:val="7D775302"/>
    <w:rsid w:val="7DDF8138"/>
    <w:rsid w:val="7DE5CEE3"/>
    <w:rsid w:val="7DEAB62D"/>
    <w:rsid w:val="7DFECDC8"/>
    <w:rsid w:val="7EBB552E"/>
    <w:rsid w:val="7EFF3914"/>
    <w:rsid w:val="7F3FBA76"/>
    <w:rsid w:val="7F462280"/>
    <w:rsid w:val="7F5F30BB"/>
    <w:rsid w:val="7F730376"/>
    <w:rsid w:val="7F7E29AA"/>
    <w:rsid w:val="7F8FCF46"/>
    <w:rsid w:val="7F9F6B07"/>
    <w:rsid w:val="7FAE1E18"/>
    <w:rsid w:val="7FB74E0F"/>
    <w:rsid w:val="7FB79BFD"/>
    <w:rsid w:val="7FB8A681"/>
    <w:rsid w:val="7FCF938C"/>
    <w:rsid w:val="7FD3FD73"/>
    <w:rsid w:val="7FDD2ACD"/>
    <w:rsid w:val="7FE71390"/>
    <w:rsid w:val="7FF3499A"/>
    <w:rsid w:val="7FF377B5"/>
    <w:rsid w:val="7FF7095E"/>
    <w:rsid w:val="7FFB497B"/>
    <w:rsid w:val="7FFEEA13"/>
    <w:rsid w:val="7FFF64D8"/>
    <w:rsid w:val="7FFFCEAA"/>
    <w:rsid w:val="88EFFAB0"/>
    <w:rsid w:val="8CC2FE3C"/>
    <w:rsid w:val="8F9B8C91"/>
    <w:rsid w:val="93FDF16E"/>
    <w:rsid w:val="9A3CB3F3"/>
    <w:rsid w:val="9BFFA566"/>
    <w:rsid w:val="9D7F6711"/>
    <w:rsid w:val="A07F90C9"/>
    <w:rsid w:val="A3BDC2AA"/>
    <w:rsid w:val="A6EDD96A"/>
    <w:rsid w:val="A7F8D22B"/>
    <w:rsid w:val="A7FCB869"/>
    <w:rsid w:val="AB70A8F3"/>
    <w:rsid w:val="AEE7E74C"/>
    <w:rsid w:val="AFF11CCF"/>
    <w:rsid w:val="AFFDC6A3"/>
    <w:rsid w:val="AFFEA675"/>
    <w:rsid w:val="B2DBBA43"/>
    <w:rsid w:val="B3B99CB6"/>
    <w:rsid w:val="B3EF2777"/>
    <w:rsid w:val="B3FDDDFA"/>
    <w:rsid w:val="B3FF4066"/>
    <w:rsid w:val="B6DEF6CC"/>
    <w:rsid w:val="B6FBB76B"/>
    <w:rsid w:val="B75FF55F"/>
    <w:rsid w:val="B7A7157C"/>
    <w:rsid w:val="B7DC1935"/>
    <w:rsid w:val="B7E37D26"/>
    <w:rsid w:val="B90F2028"/>
    <w:rsid w:val="B9E47DBA"/>
    <w:rsid w:val="BA646F1B"/>
    <w:rsid w:val="BAF7C976"/>
    <w:rsid w:val="BB7B23B4"/>
    <w:rsid w:val="BB7E0BAA"/>
    <w:rsid w:val="BBB75736"/>
    <w:rsid w:val="BBD25CB3"/>
    <w:rsid w:val="BBE7A315"/>
    <w:rsid w:val="BDB2E56C"/>
    <w:rsid w:val="BDF639F8"/>
    <w:rsid w:val="BEE9554A"/>
    <w:rsid w:val="BF85882C"/>
    <w:rsid w:val="BFCFB241"/>
    <w:rsid w:val="BFFB419F"/>
    <w:rsid w:val="BFFF8857"/>
    <w:rsid w:val="CB7F9D6C"/>
    <w:rsid w:val="CF1F42DE"/>
    <w:rsid w:val="CFA39425"/>
    <w:rsid w:val="CFBF1C79"/>
    <w:rsid w:val="CFD6F23A"/>
    <w:rsid w:val="CFDD7FC8"/>
    <w:rsid w:val="D3BA99C1"/>
    <w:rsid w:val="D3ED72CB"/>
    <w:rsid w:val="D3F7546F"/>
    <w:rsid w:val="D3FB99C7"/>
    <w:rsid w:val="D6B952B8"/>
    <w:rsid w:val="D7F68B67"/>
    <w:rsid w:val="D9DF4D70"/>
    <w:rsid w:val="DA4E7E13"/>
    <w:rsid w:val="DA5E8E90"/>
    <w:rsid w:val="DBBFE495"/>
    <w:rsid w:val="DD8CDCB2"/>
    <w:rsid w:val="DEF561F4"/>
    <w:rsid w:val="DFA58BF5"/>
    <w:rsid w:val="DFFCD1D9"/>
    <w:rsid w:val="DFFED0A2"/>
    <w:rsid w:val="DFFED55D"/>
    <w:rsid w:val="E26FBAC2"/>
    <w:rsid w:val="E3FF8D92"/>
    <w:rsid w:val="E677419F"/>
    <w:rsid w:val="E79F3322"/>
    <w:rsid w:val="E7F96F77"/>
    <w:rsid w:val="E9E83764"/>
    <w:rsid w:val="EDFF7C33"/>
    <w:rsid w:val="EEDF2A4C"/>
    <w:rsid w:val="EF5C2A9B"/>
    <w:rsid w:val="EF7F24EF"/>
    <w:rsid w:val="EF8FFAA5"/>
    <w:rsid w:val="EFFDE2BC"/>
    <w:rsid w:val="F0CFB1F2"/>
    <w:rsid w:val="F27FC58E"/>
    <w:rsid w:val="F3BE25F9"/>
    <w:rsid w:val="F3DFDEBD"/>
    <w:rsid w:val="F3FF6810"/>
    <w:rsid w:val="F6CE0F5D"/>
    <w:rsid w:val="F6FF1C74"/>
    <w:rsid w:val="F767814F"/>
    <w:rsid w:val="F7A6A395"/>
    <w:rsid w:val="F7AF4828"/>
    <w:rsid w:val="F7BDDF38"/>
    <w:rsid w:val="F7BF89F4"/>
    <w:rsid w:val="F7DDE8BA"/>
    <w:rsid w:val="FA66EACB"/>
    <w:rsid w:val="FA7FB86B"/>
    <w:rsid w:val="FA7FD1C6"/>
    <w:rsid w:val="FABD58AF"/>
    <w:rsid w:val="FAF7DCCA"/>
    <w:rsid w:val="FB10DE09"/>
    <w:rsid w:val="FB5DBB60"/>
    <w:rsid w:val="FB770148"/>
    <w:rsid w:val="FB7DE716"/>
    <w:rsid w:val="FBF68ECF"/>
    <w:rsid w:val="FBF6A702"/>
    <w:rsid w:val="FBFB467D"/>
    <w:rsid w:val="FBFF95CA"/>
    <w:rsid w:val="FCA86402"/>
    <w:rsid w:val="FCBFC174"/>
    <w:rsid w:val="FCEAD386"/>
    <w:rsid w:val="FDB79F9E"/>
    <w:rsid w:val="FE6F834E"/>
    <w:rsid w:val="FE7FF222"/>
    <w:rsid w:val="FE8B71A6"/>
    <w:rsid w:val="FE9F5762"/>
    <w:rsid w:val="FEFE3CE5"/>
    <w:rsid w:val="FF3E127F"/>
    <w:rsid w:val="FF3FA553"/>
    <w:rsid w:val="FF595095"/>
    <w:rsid w:val="FF664EE3"/>
    <w:rsid w:val="FF6E3001"/>
    <w:rsid w:val="FF771DE1"/>
    <w:rsid w:val="FF7A9EFF"/>
    <w:rsid w:val="FF7E24D9"/>
    <w:rsid w:val="FF7EDE22"/>
    <w:rsid w:val="FF9BBE0D"/>
    <w:rsid w:val="FFAF8277"/>
    <w:rsid w:val="FFBEC3F8"/>
    <w:rsid w:val="FFCA7C81"/>
    <w:rsid w:val="FFD04B21"/>
    <w:rsid w:val="FFD8A6D1"/>
    <w:rsid w:val="FFD8BD51"/>
    <w:rsid w:val="FFDDF3B1"/>
    <w:rsid w:val="FFE72452"/>
    <w:rsid w:val="FFEF610B"/>
    <w:rsid w:val="FFEFA07B"/>
    <w:rsid w:val="FFF1A3EF"/>
    <w:rsid w:val="FFFB8CAA"/>
    <w:rsid w:val="FFFD25B1"/>
    <w:rsid w:val="FFFF79E8"/>
    <w:rsid w:val="FFFFB1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p0"/>
    <w:qFormat/>
    <w:uiPriority w:val="0"/>
    <w:pPr>
      <w:widowControl/>
      <w:jc w:val="both"/>
    </w:pPr>
    <w:rPr>
      <w:rFonts w:ascii="Times New Roman" w:hAnsi="Times New Roman" w:eastAsia="宋体" w:cs="Times New Roman"/>
      <w:kern w:val="0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Office_12.1.26016.26016_F1E327BC-269C-435d-A152-05C5408002CA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2025-02-09T10:54:00Z</dcterms:created>
  <dc:creator>刘颖</dc:creator>
  <cp:lastModifiedBy>彭云龙</cp:lastModifiedBy>
  <dcterms:modified xsi:type="dcterms:W3CDTF">2026-06-24T14:22:54Z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2052-12.1.26016.26016</vt:lpwstr>
  </property>
  <property fmtid="{D5CDD505-2E9C-101B-9397-08002B2CF9AE}" pid="3" name="ICV">
    <vt:lpwstr>D964341DB818EB71BE773B6AB21AC3FB_43</vt:lpwstr>
  </property>
</Properties>
</file>