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73C1C8">
      <w:pPr>
        <w:pStyle w:val="2"/>
        <w:spacing w:before="145" w:line="191" w:lineRule="auto"/>
        <w:ind w:left="22"/>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附件</w:t>
      </w:r>
    </w:p>
    <w:p w14:paraId="0BB1EC94">
      <w:pPr>
        <w:pStyle w:val="2"/>
        <w:spacing w:before="201" w:line="19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7"/>
          <w:sz w:val="32"/>
          <w:szCs w:val="32"/>
        </w:rPr>
        <w:t>XXXX 账户分红保险盈余计算与分配表（</w:t>
      </w:r>
      <w:r>
        <w:rPr>
          <w:rFonts w:hint="eastAsia" w:ascii="仿宋_GB2312" w:hAnsi="仿宋_GB2312" w:eastAsia="仿宋_GB2312" w:cs="仿宋_GB2312"/>
          <w:spacing w:val="-18"/>
          <w:sz w:val="32"/>
          <w:szCs w:val="32"/>
        </w:rPr>
        <w:t>格式一）</w:t>
      </w:r>
    </w:p>
    <w:p w14:paraId="758BA1C3">
      <w:pPr>
        <w:spacing w:before="153"/>
        <w:rPr>
          <w:rFonts w:hint="eastAsia" w:ascii="仿宋_GB2312" w:hAnsi="仿宋_GB2312" w:eastAsia="仿宋_GB2312" w:cs="仿宋_GB2312"/>
          <w:sz w:val="32"/>
          <w:szCs w:val="32"/>
        </w:rPr>
      </w:pPr>
    </w:p>
    <w:tbl>
      <w:tblPr>
        <w:tblStyle w:val="5"/>
        <w:tblW w:w="8678" w:type="dxa"/>
        <w:tblInd w:w="17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21"/>
        <w:gridCol w:w="1560"/>
        <w:gridCol w:w="1397"/>
      </w:tblGrid>
      <w:tr w14:paraId="399A367F">
        <w:trPr>
          <w:trHeight w:val="340" w:hRule="atLeast"/>
        </w:trPr>
        <w:tc>
          <w:tcPr>
            <w:tcW w:w="5721" w:type="dxa"/>
            <w:tcBorders>
              <w:left w:val="nil"/>
            </w:tcBorders>
            <w:vAlign w:val="top"/>
          </w:tcPr>
          <w:p w14:paraId="2DB0E16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560" w:type="dxa"/>
            <w:vAlign w:val="top"/>
          </w:tcPr>
          <w:p w14:paraId="76367EFB">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57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6"/>
                <w:sz w:val="24"/>
                <w:szCs w:val="24"/>
              </w:rPr>
              <w:t>****年度</w:t>
            </w:r>
          </w:p>
        </w:tc>
        <w:tc>
          <w:tcPr>
            <w:tcW w:w="1397" w:type="dxa"/>
            <w:tcBorders>
              <w:right w:val="nil"/>
            </w:tcBorders>
            <w:vAlign w:val="top"/>
          </w:tcPr>
          <w:p w14:paraId="1E645701">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426"/>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6"/>
                <w:sz w:val="24"/>
                <w:szCs w:val="24"/>
              </w:rPr>
              <w:t>****年度</w:t>
            </w:r>
          </w:p>
        </w:tc>
      </w:tr>
      <w:tr w14:paraId="4AE968CD">
        <w:trPr>
          <w:trHeight w:val="336" w:hRule="atLeast"/>
        </w:trPr>
        <w:tc>
          <w:tcPr>
            <w:tcW w:w="5721" w:type="dxa"/>
            <w:tcBorders>
              <w:left w:val="nil"/>
            </w:tcBorders>
            <w:vAlign w:val="top"/>
          </w:tcPr>
          <w:p w14:paraId="2F1A25C2">
            <w:pPr>
              <w:pStyle w:val="6"/>
              <w:keepNext w:val="0"/>
              <w:keepLines w:val="0"/>
              <w:pageBreakBefore w:val="0"/>
              <w:widowControl/>
              <w:kinsoku w:val="0"/>
              <w:wordWrap/>
              <w:overflowPunct/>
              <w:topLinePunct w:val="0"/>
              <w:autoSpaceDE w:val="0"/>
              <w:autoSpaceDN w:val="0"/>
              <w:bidi w:val="0"/>
              <w:adjustRightInd w:val="0"/>
              <w:snapToGrid w:val="0"/>
              <w:spacing w:before="55" w:line="240" w:lineRule="auto"/>
              <w:ind w:left="56"/>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7"/>
                <w:sz w:val="24"/>
                <w:szCs w:val="24"/>
              </w:rPr>
              <w:t>一、营业收入</w:t>
            </w:r>
          </w:p>
        </w:tc>
        <w:tc>
          <w:tcPr>
            <w:tcW w:w="1560" w:type="dxa"/>
            <w:vAlign w:val="top"/>
          </w:tcPr>
          <w:p w14:paraId="1D198BA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148C9EC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6A1BE252">
        <w:trPr>
          <w:trHeight w:val="335" w:hRule="atLeast"/>
        </w:trPr>
        <w:tc>
          <w:tcPr>
            <w:tcW w:w="5721" w:type="dxa"/>
            <w:tcBorders>
              <w:left w:val="nil"/>
            </w:tcBorders>
            <w:vAlign w:val="top"/>
          </w:tcPr>
          <w:p w14:paraId="5C2A24BE">
            <w:pPr>
              <w:pStyle w:val="6"/>
              <w:keepNext w:val="0"/>
              <w:keepLines w:val="0"/>
              <w:pageBreakBefore w:val="0"/>
              <w:widowControl/>
              <w:kinsoku w:val="0"/>
              <w:wordWrap/>
              <w:overflowPunct/>
              <w:topLinePunct w:val="0"/>
              <w:autoSpaceDE w:val="0"/>
              <w:autoSpaceDN w:val="0"/>
              <w:bidi w:val="0"/>
              <w:adjustRightInd w:val="0"/>
              <w:snapToGrid w:val="0"/>
              <w:spacing w:before="56" w:line="240" w:lineRule="auto"/>
              <w:ind w:left="519"/>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保费收入（减：分出保费）</w:t>
            </w:r>
          </w:p>
        </w:tc>
        <w:tc>
          <w:tcPr>
            <w:tcW w:w="1560" w:type="dxa"/>
            <w:vAlign w:val="top"/>
          </w:tcPr>
          <w:p w14:paraId="1F60617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3A0CFE9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5C557560">
        <w:trPr>
          <w:trHeight w:val="331" w:hRule="atLeast"/>
        </w:trPr>
        <w:tc>
          <w:tcPr>
            <w:tcW w:w="5721" w:type="dxa"/>
            <w:tcBorders>
              <w:left w:val="nil"/>
            </w:tcBorders>
            <w:vAlign w:val="top"/>
          </w:tcPr>
          <w:p w14:paraId="34F303E8">
            <w:pPr>
              <w:pStyle w:val="6"/>
              <w:keepNext w:val="0"/>
              <w:keepLines w:val="0"/>
              <w:pageBreakBefore w:val="0"/>
              <w:widowControl/>
              <w:kinsoku w:val="0"/>
              <w:wordWrap/>
              <w:overflowPunct/>
              <w:topLinePunct w:val="0"/>
              <w:autoSpaceDE w:val="0"/>
              <w:autoSpaceDN w:val="0"/>
              <w:bidi w:val="0"/>
              <w:adjustRightInd w:val="0"/>
              <w:snapToGrid w:val="0"/>
              <w:spacing w:before="57" w:line="240" w:lineRule="auto"/>
              <w:ind w:left="52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投资收益</w:t>
            </w:r>
          </w:p>
        </w:tc>
        <w:tc>
          <w:tcPr>
            <w:tcW w:w="1560" w:type="dxa"/>
            <w:vAlign w:val="top"/>
          </w:tcPr>
          <w:p w14:paraId="1D57353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5396ADF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092716A5">
        <w:trPr>
          <w:trHeight w:val="336" w:hRule="atLeast"/>
        </w:trPr>
        <w:tc>
          <w:tcPr>
            <w:tcW w:w="5721" w:type="dxa"/>
            <w:tcBorders>
              <w:left w:val="nil"/>
            </w:tcBorders>
            <w:vAlign w:val="top"/>
          </w:tcPr>
          <w:p w14:paraId="226A8127">
            <w:pPr>
              <w:pStyle w:val="6"/>
              <w:keepNext w:val="0"/>
              <w:keepLines w:val="0"/>
              <w:pageBreakBefore w:val="0"/>
              <w:widowControl/>
              <w:kinsoku w:val="0"/>
              <w:wordWrap/>
              <w:overflowPunct/>
              <w:topLinePunct w:val="0"/>
              <w:autoSpaceDE w:val="0"/>
              <w:autoSpaceDN w:val="0"/>
              <w:bidi w:val="0"/>
              <w:adjustRightInd w:val="0"/>
              <w:snapToGrid w:val="0"/>
              <w:spacing w:before="57" w:line="240" w:lineRule="auto"/>
              <w:ind w:left="521"/>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公允价值变动损益</w:t>
            </w:r>
          </w:p>
        </w:tc>
        <w:tc>
          <w:tcPr>
            <w:tcW w:w="1560" w:type="dxa"/>
            <w:vAlign w:val="top"/>
          </w:tcPr>
          <w:p w14:paraId="6C820C5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58F7576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08E276CD">
        <w:trPr>
          <w:trHeight w:val="335" w:hRule="atLeast"/>
        </w:trPr>
        <w:tc>
          <w:tcPr>
            <w:tcW w:w="5721" w:type="dxa"/>
            <w:tcBorders>
              <w:left w:val="nil"/>
            </w:tcBorders>
            <w:vAlign w:val="top"/>
          </w:tcPr>
          <w:p w14:paraId="1332B654">
            <w:pPr>
              <w:pStyle w:val="6"/>
              <w:keepNext w:val="0"/>
              <w:keepLines w:val="0"/>
              <w:pageBreakBefore w:val="0"/>
              <w:widowControl/>
              <w:kinsoku w:val="0"/>
              <w:wordWrap/>
              <w:overflowPunct/>
              <w:topLinePunct w:val="0"/>
              <w:autoSpaceDE w:val="0"/>
              <w:autoSpaceDN w:val="0"/>
              <w:bidi w:val="0"/>
              <w:adjustRightInd w:val="0"/>
              <w:snapToGrid w:val="0"/>
              <w:spacing w:before="56" w:line="240" w:lineRule="auto"/>
              <w:ind w:left="522"/>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其他收入</w:t>
            </w:r>
          </w:p>
        </w:tc>
        <w:tc>
          <w:tcPr>
            <w:tcW w:w="1560" w:type="dxa"/>
            <w:vAlign w:val="top"/>
          </w:tcPr>
          <w:p w14:paraId="09F6512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0E94517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74C07690">
        <w:trPr>
          <w:trHeight w:val="335" w:hRule="atLeast"/>
        </w:trPr>
        <w:tc>
          <w:tcPr>
            <w:tcW w:w="5721" w:type="dxa"/>
            <w:tcBorders>
              <w:left w:val="nil"/>
            </w:tcBorders>
            <w:vAlign w:val="top"/>
          </w:tcPr>
          <w:p w14:paraId="267B14AF">
            <w:pPr>
              <w:pStyle w:val="6"/>
              <w:keepNext w:val="0"/>
              <w:keepLines w:val="0"/>
              <w:pageBreakBefore w:val="0"/>
              <w:widowControl/>
              <w:kinsoku w:val="0"/>
              <w:wordWrap/>
              <w:overflowPunct/>
              <w:topLinePunct w:val="0"/>
              <w:autoSpaceDE w:val="0"/>
              <w:autoSpaceDN w:val="0"/>
              <w:bidi w:val="0"/>
              <w:adjustRightInd w:val="0"/>
              <w:snapToGrid w:val="0"/>
              <w:spacing w:before="58" w:line="240" w:lineRule="auto"/>
              <w:ind w:left="5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5"/>
                <w:sz w:val="24"/>
                <w:szCs w:val="24"/>
              </w:rPr>
              <w:t>二、营业支出</w:t>
            </w:r>
          </w:p>
        </w:tc>
        <w:tc>
          <w:tcPr>
            <w:tcW w:w="1560" w:type="dxa"/>
            <w:vAlign w:val="top"/>
          </w:tcPr>
          <w:p w14:paraId="1C92548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69FFC14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40BE1B68">
        <w:trPr>
          <w:trHeight w:val="335" w:hRule="atLeast"/>
        </w:trPr>
        <w:tc>
          <w:tcPr>
            <w:tcW w:w="5721" w:type="dxa"/>
            <w:tcBorders>
              <w:left w:val="nil"/>
            </w:tcBorders>
            <w:vAlign w:val="top"/>
          </w:tcPr>
          <w:p w14:paraId="1E26FD67">
            <w:pPr>
              <w:pStyle w:val="6"/>
              <w:keepNext w:val="0"/>
              <w:keepLines w:val="0"/>
              <w:pageBreakBefore w:val="0"/>
              <w:widowControl/>
              <w:kinsoku w:val="0"/>
              <w:wordWrap/>
              <w:overflowPunct/>
              <w:topLinePunct w:val="0"/>
              <w:autoSpaceDE w:val="0"/>
              <w:autoSpaceDN w:val="0"/>
              <w:bidi w:val="0"/>
              <w:adjustRightInd w:val="0"/>
              <w:snapToGrid w:val="0"/>
              <w:spacing w:before="58" w:line="240" w:lineRule="auto"/>
              <w:ind w:left="52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退保金</w:t>
            </w:r>
          </w:p>
        </w:tc>
        <w:tc>
          <w:tcPr>
            <w:tcW w:w="1560" w:type="dxa"/>
            <w:vAlign w:val="top"/>
          </w:tcPr>
          <w:p w14:paraId="27FF42A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21A1D9B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5A89EF95">
        <w:trPr>
          <w:trHeight w:val="336" w:hRule="atLeast"/>
        </w:trPr>
        <w:tc>
          <w:tcPr>
            <w:tcW w:w="5721" w:type="dxa"/>
            <w:tcBorders>
              <w:left w:val="nil"/>
            </w:tcBorders>
            <w:vAlign w:val="top"/>
          </w:tcPr>
          <w:p w14:paraId="09EF3A6C">
            <w:pPr>
              <w:pStyle w:val="6"/>
              <w:keepNext w:val="0"/>
              <w:keepLines w:val="0"/>
              <w:pageBreakBefore w:val="0"/>
              <w:widowControl/>
              <w:kinsoku w:val="0"/>
              <w:wordWrap/>
              <w:overflowPunct/>
              <w:topLinePunct w:val="0"/>
              <w:autoSpaceDE w:val="0"/>
              <w:autoSpaceDN w:val="0"/>
              <w:bidi w:val="0"/>
              <w:adjustRightInd w:val="0"/>
              <w:snapToGrid w:val="0"/>
              <w:spacing w:before="57" w:line="240" w:lineRule="auto"/>
              <w:ind w:left="521"/>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赔付支出（减：摊回赔付支出）</w:t>
            </w:r>
          </w:p>
        </w:tc>
        <w:tc>
          <w:tcPr>
            <w:tcW w:w="1560" w:type="dxa"/>
            <w:vAlign w:val="top"/>
          </w:tcPr>
          <w:p w14:paraId="658EE41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1EA39C8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25E9A28D">
        <w:trPr>
          <w:trHeight w:val="331" w:hRule="atLeast"/>
        </w:trPr>
        <w:tc>
          <w:tcPr>
            <w:tcW w:w="5721" w:type="dxa"/>
            <w:tcBorders>
              <w:left w:val="nil"/>
            </w:tcBorders>
            <w:vAlign w:val="top"/>
          </w:tcPr>
          <w:p w14:paraId="7BBE6D8A">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52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提取分红保险准备金（减：摊回准备金）</w:t>
            </w:r>
          </w:p>
        </w:tc>
        <w:tc>
          <w:tcPr>
            <w:tcW w:w="1560" w:type="dxa"/>
            <w:vAlign w:val="top"/>
          </w:tcPr>
          <w:p w14:paraId="55982AA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44B1502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39E5E052">
        <w:trPr>
          <w:trHeight w:val="335" w:hRule="atLeast"/>
        </w:trPr>
        <w:tc>
          <w:tcPr>
            <w:tcW w:w="5721" w:type="dxa"/>
            <w:tcBorders>
              <w:left w:val="nil"/>
            </w:tcBorders>
            <w:vAlign w:val="top"/>
          </w:tcPr>
          <w:p w14:paraId="70D71FBE">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536"/>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营业税金及附加</w:t>
            </w:r>
          </w:p>
        </w:tc>
        <w:tc>
          <w:tcPr>
            <w:tcW w:w="1560" w:type="dxa"/>
            <w:vAlign w:val="top"/>
          </w:tcPr>
          <w:p w14:paraId="3B4BC07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309AAA0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76F92052">
        <w:trPr>
          <w:trHeight w:val="336" w:hRule="atLeast"/>
        </w:trPr>
        <w:tc>
          <w:tcPr>
            <w:tcW w:w="5721" w:type="dxa"/>
            <w:tcBorders>
              <w:left w:val="nil"/>
            </w:tcBorders>
            <w:vAlign w:val="top"/>
          </w:tcPr>
          <w:p w14:paraId="1070D5CC">
            <w:pPr>
              <w:pStyle w:val="6"/>
              <w:keepNext w:val="0"/>
              <w:keepLines w:val="0"/>
              <w:pageBreakBefore w:val="0"/>
              <w:widowControl/>
              <w:kinsoku w:val="0"/>
              <w:wordWrap/>
              <w:overflowPunct/>
              <w:topLinePunct w:val="0"/>
              <w:autoSpaceDE w:val="0"/>
              <w:autoSpaceDN w:val="0"/>
              <w:bidi w:val="0"/>
              <w:adjustRightInd w:val="0"/>
              <w:snapToGrid w:val="0"/>
              <w:spacing w:before="57" w:line="240" w:lineRule="auto"/>
              <w:ind w:left="531"/>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手续费及佣金支出</w:t>
            </w:r>
          </w:p>
        </w:tc>
        <w:tc>
          <w:tcPr>
            <w:tcW w:w="1560" w:type="dxa"/>
            <w:vAlign w:val="top"/>
          </w:tcPr>
          <w:p w14:paraId="79665A3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021A4A5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5BA8E7A7">
        <w:trPr>
          <w:trHeight w:val="335" w:hRule="atLeast"/>
        </w:trPr>
        <w:tc>
          <w:tcPr>
            <w:tcW w:w="5721" w:type="dxa"/>
            <w:tcBorders>
              <w:left w:val="nil"/>
            </w:tcBorders>
            <w:vAlign w:val="top"/>
          </w:tcPr>
          <w:p w14:paraId="6377A8AD">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531"/>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业务及管理费（减：摊回分保费用）</w:t>
            </w:r>
          </w:p>
        </w:tc>
        <w:tc>
          <w:tcPr>
            <w:tcW w:w="1560" w:type="dxa"/>
            <w:vAlign w:val="top"/>
          </w:tcPr>
          <w:p w14:paraId="75CA711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2E30141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51E7133E">
        <w:trPr>
          <w:trHeight w:val="335" w:hRule="atLeast"/>
        </w:trPr>
        <w:tc>
          <w:tcPr>
            <w:tcW w:w="5721" w:type="dxa"/>
            <w:tcBorders>
              <w:left w:val="nil"/>
            </w:tcBorders>
            <w:vAlign w:val="top"/>
          </w:tcPr>
          <w:p w14:paraId="4C8A86D7">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531"/>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资产减值损失</w:t>
            </w:r>
          </w:p>
        </w:tc>
        <w:tc>
          <w:tcPr>
            <w:tcW w:w="1560" w:type="dxa"/>
            <w:vAlign w:val="top"/>
          </w:tcPr>
          <w:p w14:paraId="73C00A7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5099915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1A849389">
        <w:trPr>
          <w:trHeight w:val="336" w:hRule="atLeast"/>
        </w:trPr>
        <w:tc>
          <w:tcPr>
            <w:tcW w:w="5721" w:type="dxa"/>
            <w:tcBorders>
              <w:left w:val="nil"/>
            </w:tcBorders>
            <w:vAlign w:val="top"/>
          </w:tcPr>
          <w:p w14:paraId="33BABB6F">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522"/>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其他支出</w:t>
            </w:r>
          </w:p>
        </w:tc>
        <w:tc>
          <w:tcPr>
            <w:tcW w:w="1560" w:type="dxa"/>
            <w:vAlign w:val="top"/>
          </w:tcPr>
          <w:p w14:paraId="529A3C1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173E734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71ED8A61">
        <w:trPr>
          <w:trHeight w:val="331" w:hRule="atLeast"/>
        </w:trPr>
        <w:tc>
          <w:tcPr>
            <w:tcW w:w="5721" w:type="dxa"/>
            <w:tcBorders>
              <w:left w:val="nil"/>
            </w:tcBorders>
            <w:vAlign w:val="top"/>
          </w:tcPr>
          <w:p w14:paraId="49D2AC61">
            <w:pPr>
              <w:pStyle w:val="6"/>
              <w:keepNext w:val="0"/>
              <w:keepLines w:val="0"/>
              <w:pageBreakBefore w:val="0"/>
              <w:widowControl/>
              <w:kinsoku w:val="0"/>
              <w:wordWrap/>
              <w:overflowPunct/>
              <w:topLinePunct w:val="0"/>
              <w:autoSpaceDE w:val="0"/>
              <w:autoSpaceDN w:val="0"/>
              <w:bidi w:val="0"/>
              <w:adjustRightInd w:val="0"/>
              <w:snapToGrid w:val="0"/>
              <w:spacing w:before="61" w:line="240" w:lineRule="auto"/>
              <w:ind w:left="58"/>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5"/>
                <w:sz w:val="24"/>
                <w:szCs w:val="24"/>
              </w:rPr>
              <w:t>三、本期业务盈余</w:t>
            </w:r>
          </w:p>
        </w:tc>
        <w:tc>
          <w:tcPr>
            <w:tcW w:w="1560" w:type="dxa"/>
            <w:vAlign w:val="top"/>
          </w:tcPr>
          <w:p w14:paraId="007A5A6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57BFCF0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2AB17344">
        <w:trPr>
          <w:trHeight w:val="499" w:hRule="atLeast"/>
        </w:trPr>
        <w:tc>
          <w:tcPr>
            <w:tcW w:w="5721" w:type="dxa"/>
            <w:tcBorders>
              <w:left w:val="nil"/>
            </w:tcBorders>
            <w:vAlign w:val="top"/>
          </w:tcPr>
          <w:p w14:paraId="1030C3DD">
            <w:pPr>
              <w:pStyle w:val="6"/>
              <w:keepNext w:val="0"/>
              <w:keepLines w:val="0"/>
              <w:pageBreakBefore w:val="0"/>
              <w:widowControl/>
              <w:kinsoku w:val="0"/>
              <w:wordWrap/>
              <w:overflowPunct/>
              <w:topLinePunct w:val="0"/>
              <w:autoSpaceDE w:val="0"/>
              <w:autoSpaceDN w:val="0"/>
              <w:bidi w:val="0"/>
              <w:adjustRightInd w:val="0"/>
              <w:snapToGrid w:val="0"/>
              <w:spacing w:before="141" w:line="240" w:lineRule="auto"/>
              <w:ind w:left="49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w:t>
            </w:r>
            <w:r>
              <w:rPr>
                <w:rFonts w:hint="eastAsia" w:ascii="仿宋_GB2312" w:hAnsi="仿宋_GB2312" w:eastAsia="仿宋_GB2312" w:cs="仿宋_GB2312"/>
                <w:b/>
                <w:bCs/>
                <w:spacing w:val="-3"/>
                <w:sz w:val="24"/>
                <w:szCs w:val="24"/>
              </w:rPr>
              <w:t>本期股东专属盈余</w:t>
            </w:r>
          </w:p>
        </w:tc>
        <w:tc>
          <w:tcPr>
            <w:tcW w:w="1560" w:type="dxa"/>
            <w:vAlign w:val="top"/>
          </w:tcPr>
          <w:p w14:paraId="7A1218F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2708C60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527467B9">
        <w:trPr>
          <w:trHeight w:val="335" w:hRule="atLeast"/>
        </w:trPr>
        <w:tc>
          <w:tcPr>
            <w:tcW w:w="5721" w:type="dxa"/>
            <w:tcBorders>
              <w:left w:val="nil"/>
            </w:tcBorders>
            <w:vAlign w:val="top"/>
          </w:tcPr>
          <w:p w14:paraId="6FE3F59A">
            <w:pPr>
              <w:pStyle w:val="6"/>
              <w:keepNext w:val="0"/>
              <w:keepLines w:val="0"/>
              <w:pageBreakBefore w:val="0"/>
              <w:widowControl/>
              <w:kinsoku w:val="0"/>
              <w:wordWrap/>
              <w:overflowPunct/>
              <w:topLinePunct w:val="0"/>
              <w:autoSpaceDE w:val="0"/>
              <w:autoSpaceDN w:val="0"/>
              <w:bidi w:val="0"/>
              <w:adjustRightInd w:val="0"/>
              <w:snapToGrid w:val="0"/>
              <w:spacing w:before="61" w:line="240" w:lineRule="auto"/>
              <w:ind w:left="49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w:t>
            </w:r>
            <w:r>
              <w:rPr>
                <w:rFonts w:hint="eastAsia" w:ascii="仿宋_GB2312" w:hAnsi="仿宋_GB2312" w:eastAsia="仿宋_GB2312" w:cs="仿宋_GB2312"/>
                <w:b/>
                <w:bCs/>
                <w:spacing w:val="-3"/>
                <w:sz w:val="24"/>
                <w:szCs w:val="24"/>
              </w:rPr>
              <w:t>本期分红账户共有盈余</w:t>
            </w:r>
          </w:p>
        </w:tc>
        <w:tc>
          <w:tcPr>
            <w:tcW w:w="1560" w:type="dxa"/>
            <w:vAlign w:val="top"/>
          </w:tcPr>
          <w:p w14:paraId="6C1A70B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68B87A0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6FAF540D">
        <w:trPr>
          <w:trHeight w:val="336" w:hRule="atLeast"/>
        </w:trPr>
        <w:tc>
          <w:tcPr>
            <w:tcW w:w="5721" w:type="dxa"/>
            <w:tcBorders>
              <w:left w:val="nil"/>
            </w:tcBorders>
            <w:vAlign w:val="top"/>
          </w:tcPr>
          <w:p w14:paraId="647AD2A7">
            <w:pPr>
              <w:pStyle w:val="6"/>
              <w:keepNext w:val="0"/>
              <w:keepLines w:val="0"/>
              <w:pageBreakBefore w:val="0"/>
              <w:widowControl/>
              <w:kinsoku w:val="0"/>
              <w:wordWrap/>
              <w:overflowPunct/>
              <w:topLinePunct w:val="0"/>
              <w:autoSpaceDE w:val="0"/>
              <w:autoSpaceDN w:val="0"/>
              <w:bidi w:val="0"/>
              <w:adjustRightInd w:val="0"/>
              <w:snapToGrid w:val="0"/>
              <w:spacing w:before="62" w:line="240" w:lineRule="auto"/>
              <w:ind w:left="68"/>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5"/>
                <w:sz w:val="24"/>
                <w:szCs w:val="24"/>
              </w:rPr>
              <w:t>四、转回分红保险特别储备</w:t>
            </w:r>
          </w:p>
        </w:tc>
        <w:tc>
          <w:tcPr>
            <w:tcW w:w="1560" w:type="dxa"/>
            <w:vAlign w:val="top"/>
          </w:tcPr>
          <w:p w14:paraId="46BEF95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494B50D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3B464BB5">
        <w:trPr>
          <w:trHeight w:val="335" w:hRule="atLeast"/>
        </w:trPr>
        <w:tc>
          <w:tcPr>
            <w:tcW w:w="5721" w:type="dxa"/>
            <w:tcBorders>
              <w:left w:val="nil"/>
            </w:tcBorders>
            <w:vAlign w:val="top"/>
          </w:tcPr>
          <w:p w14:paraId="1CF4AA9A">
            <w:pPr>
              <w:pStyle w:val="6"/>
              <w:keepNext w:val="0"/>
              <w:keepLines w:val="0"/>
              <w:pageBreakBefore w:val="0"/>
              <w:widowControl/>
              <w:kinsoku w:val="0"/>
              <w:wordWrap/>
              <w:overflowPunct/>
              <w:topLinePunct w:val="0"/>
              <w:autoSpaceDE w:val="0"/>
              <w:autoSpaceDN w:val="0"/>
              <w:bidi w:val="0"/>
              <w:adjustRightInd w:val="0"/>
              <w:snapToGrid w:val="0"/>
              <w:spacing w:before="61" w:line="240" w:lineRule="auto"/>
              <w:ind w:left="49"/>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3"/>
                <w:sz w:val="24"/>
                <w:szCs w:val="24"/>
              </w:rPr>
              <w:t>五、上一年度红利派发差异调整</w:t>
            </w:r>
          </w:p>
        </w:tc>
        <w:tc>
          <w:tcPr>
            <w:tcW w:w="1560" w:type="dxa"/>
            <w:vAlign w:val="top"/>
          </w:tcPr>
          <w:p w14:paraId="6F3DDF7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74DB8D5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611D1B6E">
        <w:trPr>
          <w:trHeight w:val="336" w:hRule="atLeast"/>
        </w:trPr>
        <w:tc>
          <w:tcPr>
            <w:tcW w:w="5721" w:type="dxa"/>
            <w:tcBorders>
              <w:left w:val="nil"/>
            </w:tcBorders>
            <w:vAlign w:val="top"/>
          </w:tcPr>
          <w:p w14:paraId="024A48CD">
            <w:pPr>
              <w:pStyle w:val="6"/>
              <w:keepNext w:val="0"/>
              <w:keepLines w:val="0"/>
              <w:pageBreakBefore w:val="0"/>
              <w:widowControl/>
              <w:kinsoku w:val="0"/>
              <w:wordWrap/>
              <w:overflowPunct/>
              <w:topLinePunct w:val="0"/>
              <w:autoSpaceDE w:val="0"/>
              <w:autoSpaceDN w:val="0"/>
              <w:bidi w:val="0"/>
              <w:adjustRightInd w:val="0"/>
              <w:snapToGrid w:val="0"/>
              <w:spacing w:before="62" w:line="240" w:lineRule="auto"/>
              <w:ind w:left="60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——保户保单红利调整</w:t>
            </w:r>
          </w:p>
        </w:tc>
        <w:tc>
          <w:tcPr>
            <w:tcW w:w="1560" w:type="dxa"/>
            <w:vAlign w:val="top"/>
          </w:tcPr>
          <w:p w14:paraId="705B564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04DB1C7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4B7940EC">
        <w:trPr>
          <w:trHeight w:val="331" w:hRule="atLeast"/>
        </w:trPr>
        <w:tc>
          <w:tcPr>
            <w:tcW w:w="5721" w:type="dxa"/>
            <w:tcBorders>
              <w:left w:val="nil"/>
            </w:tcBorders>
            <w:vAlign w:val="top"/>
          </w:tcPr>
          <w:p w14:paraId="3985EA93">
            <w:pPr>
              <w:pStyle w:val="6"/>
              <w:keepNext w:val="0"/>
              <w:keepLines w:val="0"/>
              <w:pageBreakBefore w:val="0"/>
              <w:widowControl/>
              <w:kinsoku w:val="0"/>
              <w:wordWrap/>
              <w:overflowPunct/>
              <w:topLinePunct w:val="0"/>
              <w:autoSpaceDE w:val="0"/>
              <w:autoSpaceDN w:val="0"/>
              <w:bidi w:val="0"/>
              <w:adjustRightInd w:val="0"/>
              <w:snapToGrid w:val="0"/>
              <w:spacing w:before="57" w:line="240" w:lineRule="auto"/>
              <w:ind w:left="60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——股东保单红利调整</w:t>
            </w:r>
          </w:p>
        </w:tc>
        <w:tc>
          <w:tcPr>
            <w:tcW w:w="1560" w:type="dxa"/>
            <w:vAlign w:val="top"/>
          </w:tcPr>
          <w:p w14:paraId="47C48CE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55F680C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54D1C496">
        <w:trPr>
          <w:trHeight w:val="336" w:hRule="atLeast"/>
        </w:trPr>
        <w:tc>
          <w:tcPr>
            <w:tcW w:w="5721" w:type="dxa"/>
            <w:tcBorders>
              <w:left w:val="nil"/>
            </w:tcBorders>
            <w:vAlign w:val="top"/>
          </w:tcPr>
          <w:p w14:paraId="7255FBBC">
            <w:pPr>
              <w:pStyle w:val="6"/>
              <w:keepNext w:val="0"/>
              <w:keepLines w:val="0"/>
              <w:pageBreakBefore w:val="0"/>
              <w:widowControl/>
              <w:kinsoku w:val="0"/>
              <w:wordWrap/>
              <w:overflowPunct/>
              <w:topLinePunct w:val="0"/>
              <w:autoSpaceDE w:val="0"/>
              <w:autoSpaceDN w:val="0"/>
              <w:bidi w:val="0"/>
              <w:adjustRightInd w:val="0"/>
              <w:snapToGrid w:val="0"/>
              <w:spacing w:before="52" w:line="240" w:lineRule="auto"/>
              <w:ind w:left="51"/>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4"/>
                <w:sz w:val="24"/>
                <w:szCs w:val="24"/>
              </w:rPr>
              <w:t>六、本期分红前共有盈余</w:t>
            </w:r>
          </w:p>
        </w:tc>
        <w:tc>
          <w:tcPr>
            <w:tcW w:w="1560" w:type="dxa"/>
            <w:vAlign w:val="top"/>
          </w:tcPr>
          <w:p w14:paraId="022CF69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3787FF7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63230645">
        <w:trPr>
          <w:trHeight w:val="336" w:hRule="atLeast"/>
        </w:trPr>
        <w:tc>
          <w:tcPr>
            <w:tcW w:w="5721" w:type="dxa"/>
            <w:tcBorders>
              <w:left w:val="nil"/>
            </w:tcBorders>
            <w:vAlign w:val="top"/>
          </w:tcPr>
          <w:p w14:paraId="698FCB45">
            <w:pPr>
              <w:pStyle w:val="6"/>
              <w:keepNext w:val="0"/>
              <w:keepLines w:val="0"/>
              <w:pageBreakBefore w:val="0"/>
              <w:widowControl/>
              <w:kinsoku w:val="0"/>
              <w:wordWrap/>
              <w:overflowPunct/>
              <w:topLinePunct w:val="0"/>
              <w:autoSpaceDE w:val="0"/>
              <w:autoSpaceDN w:val="0"/>
              <w:bidi w:val="0"/>
              <w:adjustRightInd w:val="0"/>
              <w:snapToGrid w:val="0"/>
              <w:spacing w:before="62" w:line="240" w:lineRule="auto"/>
              <w:ind w:left="47"/>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3"/>
                <w:sz w:val="24"/>
                <w:szCs w:val="24"/>
              </w:rPr>
              <w:t>七、本期可分配盈余</w:t>
            </w:r>
          </w:p>
        </w:tc>
        <w:tc>
          <w:tcPr>
            <w:tcW w:w="1560" w:type="dxa"/>
            <w:vAlign w:val="top"/>
          </w:tcPr>
          <w:p w14:paraId="69F10AD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65E7B54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3F7EF7BC">
        <w:trPr>
          <w:trHeight w:val="336" w:hRule="atLeast"/>
        </w:trPr>
        <w:tc>
          <w:tcPr>
            <w:tcW w:w="5721" w:type="dxa"/>
            <w:tcBorders>
              <w:left w:val="nil"/>
            </w:tcBorders>
            <w:vAlign w:val="top"/>
          </w:tcPr>
          <w:p w14:paraId="59718E65">
            <w:pPr>
              <w:pStyle w:val="6"/>
              <w:keepNext w:val="0"/>
              <w:keepLines w:val="0"/>
              <w:pageBreakBefore w:val="0"/>
              <w:widowControl/>
              <w:kinsoku w:val="0"/>
              <w:wordWrap/>
              <w:overflowPunct/>
              <w:topLinePunct w:val="0"/>
              <w:autoSpaceDE w:val="0"/>
              <w:autoSpaceDN w:val="0"/>
              <w:bidi w:val="0"/>
              <w:adjustRightInd w:val="0"/>
              <w:snapToGrid w:val="0"/>
              <w:spacing w:before="52" w:line="240" w:lineRule="auto"/>
              <w:ind w:left="49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——本期保户保单红利</w:t>
            </w:r>
          </w:p>
        </w:tc>
        <w:tc>
          <w:tcPr>
            <w:tcW w:w="1560" w:type="dxa"/>
            <w:vAlign w:val="top"/>
          </w:tcPr>
          <w:p w14:paraId="2C26F8A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61FE161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477DF356">
        <w:trPr>
          <w:trHeight w:val="336" w:hRule="atLeast"/>
        </w:trPr>
        <w:tc>
          <w:tcPr>
            <w:tcW w:w="5721" w:type="dxa"/>
            <w:tcBorders>
              <w:left w:val="nil"/>
            </w:tcBorders>
            <w:vAlign w:val="top"/>
          </w:tcPr>
          <w:p w14:paraId="2436131C">
            <w:pPr>
              <w:pStyle w:val="6"/>
              <w:keepNext w:val="0"/>
              <w:keepLines w:val="0"/>
              <w:pageBreakBefore w:val="0"/>
              <w:widowControl/>
              <w:kinsoku w:val="0"/>
              <w:wordWrap/>
              <w:overflowPunct/>
              <w:topLinePunct w:val="0"/>
              <w:autoSpaceDE w:val="0"/>
              <w:autoSpaceDN w:val="0"/>
              <w:bidi w:val="0"/>
              <w:adjustRightInd w:val="0"/>
              <w:snapToGrid w:val="0"/>
              <w:spacing w:before="60" w:line="240" w:lineRule="auto"/>
              <w:ind w:left="49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——本期股东保单红利</w:t>
            </w:r>
          </w:p>
        </w:tc>
        <w:tc>
          <w:tcPr>
            <w:tcW w:w="1560" w:type="dxa"/>
            <w:vAlign w:val="top"/>
          </w:tcPr>
          <w:p w14:paraId="70F1621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53A601A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2FE12FFF">
        <w:trPr>
          <w:trHeight w:val="336" w:hRule="atLeast"/>
        </w:trPr>
        <w:tc>
          <w:tcPr>
            <w:tcW w:w="5721" w:type="dxa"/>
            <w:tcBorders>
              <w:left w:val="nil"/>
            </w:tcBorders>
            <w:vAlign w:val="top"/>
          </w:tcPr>
          <w:p w14:paraId="39155EAA">
            <w:pPr>
              <w:pStyle w:val="6"/>
              <w:keepNext w:val="0"/>
              <w:keepLines w:val="0"/>
              <w:pageBreakBefore w:val="0"/>
              <w:widowControl/>
              <w:kinsoku w:val="0"/>
              <w:wordWrap/>
              <w:overflowPunct/>
              <w:topLinePunct w:val="0"/>
              <w:autoSpaceDE w:val="0"/>
              <w:autoSpaceDN w:val="0"/>
              <w:bidi w:val="0"/>
              <w:adjustRightInd w:val="0"/>
              <w:snapToGrid w:val="0"/>
              <w:spacing w:before="60" w:line="240" w:lineRule="auto"/>
              <w:ind w:left="46"/>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3"/>
                <w:sz w:val="24"/>
                <w:szCs w:val="24"/>
              </w:rPr>
              <w:t>八、本期分红后的分红保险特别储备</w:t>
            </w:r>
          </w:p>
        </w:tc>
        <w:tc>
          <w:tcPr>
            <w:tcW w:w="1560" w:type="dxa"/>
            <w:vAlign w:val="top"/>
          </w:tcPr>
          <w:p w14:paraId="16EBFAC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4DB5BA1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09DAD2C1">
        <w:trPr>
          <w:trHeight w:val="331" w:hRule="atLeast"/>
        </w:trPr>
        <w:tc>
          <w:tcPr>
            <w:tcW w:w="5721" w:type="dxa"/>
            <w:tcBorders>
              <w:left w:val="nil"/>
            </w:tcBorders>
            <w:vAlign w:val="top"/>
          </w:tcPr>
          <w:p w14:paraId="047ABF02">
            <w:pPr>
              <w:pStyle w:val="6"/>
              <w:keepNext w:val="0"/>
              <w:keepLines w:val="0"/>
              <w:pageBreakBefore w:val="0"/>
              <w:widowControl/>
              <w:kinsoku w:val="0"/>
              <w:wordWrap/>
              <w:overflowPunct/>
              <w:topLinePunct w:val="0"/>
              <w:autoSpaceDE w:val="0"/>
              <w:autoSpaceDN w:val="0"/>
              <w:bidi w:val="0"/>
              <w:adjustRightInd w:val="0"/>
              <w:snapToGrid w:val="0"/>
              <w:spacing w:before="55" w:line="240" w:lineRule="auto"/>
              <w:ind w:left="4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3"/>
                <w:sz w:val="24"/>
                <w:szCs w:val="24"/>
              </w:rPr>
              <w:t>九、分红保险准备金余额</w:t>
            </w:r>
          </w:p>
        </w:tc>
        <w:tc>
          <w:tcPr>
            <w:tcW w:w="1560" w:type="dxa"/>
            <w:vAlign w:val="top"/>
          </w:tcPr>
          <w:p w14:paraId="4D5D6BB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7C2D2EE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7006C785">
        <w:trPr>
          <w:trHeight w:val="340" w:hRule="atLeast"/>
        </w:trPr>
        <w:tc>
          <w:tcPr>
            <w:tcW w:w="5721" w:type="dxa"/>
            <w:tcBorders>
              <w:left w:val="nil"/>
            </w:tcBorders>
            <w:vAlign w:val="top"/>
          </w:tcPr>
          <w:p w14:paraId="32EC08B3">
            <w:pPr>
              <w:pStyle w:val="6"/>
              <w:keepNext w:val="0"/>
              <w:keepLines w:val="0"/>
              <w:pageBreakBefore w:val="0"/>
              <w:widowControl/>
              <w:kinsoku w:val="0"/>
              <w:wordWrap/>
              <w:overflowPunct/>
              <w:topLinePunct w:val="0"/>
              <w:autoSpaceDE w:val="0"/>
              <w:autoSpaceDN w:val="0"/>
              <w:bidi w:val="0"/>
              <w:adjustRightInd w:val="0"/>
              <w:snapToGrid w:val="0"/>
              <w:spacing w:before="61" w:line="240" w:lineRule="auto"/>
              <w:ind w:left="51"/>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3"/>
                <w:sz w:val="24"/>
                <w:szCs w:val="24"/>
              </w:rPr>
              <w:t>十、分红保险特别储备余额与分红保险准备金余额的比值</w:t>
            </w:r>
          </w:p>
        </w:tc>
        <w:tc>
          <w:tcPr>
            <w:tcW w:w="1560" w:type="dxa"/>
            <w:vAlign w:val="top"/>
          </w:tcPr>
          <w:p w14:paraId="3EB549E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66BF624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bl>
    <w:p w14:paraId="4D7DF45D">
      <w:pPr>
        <w:rPr>
          <w:rFonts w:hint="eastAsia" w:ascii="仿宋_GB2312" w:hAnsi="仿宋_GB2312" w:eastAsia="仿宋_GB2312" w:cs="仿宋_GB2312"/>
          <w:sz w:val="32"/>
          <w:szCs w:val="32"/>
        </w:rPr>
      </w:pPr>
    </w:p>
    <w:p w14:paraId="2DD9803B">
      <w:pPr>
        <w:rPr>
          <w:rFonts w:hint="eastAsia" w:ascii="仿宋_GB2312" w:hAnsi="仿宋_GB2312" w:eastAsia="仿宋_GB2312" w:cs="仿宋_GB2312"/>
          <w:sz w:val="32"/>
          <w:szCs w:val="32"/>
        </w:rPr>
        <w:sectPr>
          <w:footerReference r:id="rId5" w:type="default"/>
          <w:pgSz w:w="11904" w:h="16834"/>
          <w:pgMar w:top="1430" w:right="1258" w:bottom="1529" w:left="1429" w:header="0" w:footer="1198" w:gutter="0"/>
          <w:cols w:space="720" w:num="1"/>
        </w:sectPr>
      </w:pPr>
    </w:p>
    <w:p w14:paraId="2B4F501B">
      <w:pPr>
        <w:spacing w:line="275" w:lineRule="auto"/>
        <w:rPr>
          <w:rFonts w:hint="eastAsia" w:ascii="仿宋_GB2312" w:hAnsi="仿宋_GB2312" w:eastAsia="仿宋_GB2312" w:cs="仿宋_GB2312"/>
          <w:sz w:val="32"/>
          <w:szCs w:val="32"/>
        </w:rPr>
      </w:pPr>
    </w:p>
    <w:p w14:paraId="2B7BA7D4">
      <w:pPr>
        <w:spacing w:line="276" w:lineRule="auto"/>
        <w:rPr>
          <w:rFonts w:hint="eastAsia" w:ascii="仿宋_GB2312" w:hAnsi="仿宋_GB2312" w:eastAsia="仿宋_GB2312" w:cs="仿宋_GB2312"/>
          <w:sz w:val="32"/>
          <w:szCs w:val="32"/>
        </w:rPr>
      </w:pPr>
    </w:p>
    <w:p w14:paraId="25954D00">
      <w:pPr>
        <w:pStyle w:val="2"/>
        <w:spacing w:before="200" w:line="19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7"/>
          <w:sz w:val="32"/>
          <w:szCs w:val="32"/>
        </w:rPr>
        <w:t>XXXX 账户分红保险盈余计算与分配表（</w:t>
      </w:r>
      <w:r>
        <w:rPr>
          <w:rFonts w:hint="eastAsia" w:ascii="仿宋_GB2312" w:hAnsi="仿宋_GB2312" w:eastAsia="仿宋_GB2312" w:cs="仿宋_GB2312"/>
          <w:spacing w:val="-18"/>
          <w:sz w:val="32"/>
          <w:szCs w:val="32"/>
        </w:rPr>
        <w:t>格式二）</w:t>
      </w:r>
    </w:p>
    <w:p w14:paraId="30B54135">
      <w:pPr>
        <w:spacing w:before="153"/>
        <w:rPr>
          <w:rFonts w:hint="eastAsia" w:ascii="仿宋_GB2312" w:hAnsi="仿宋_GB2312" w:eastAsia="仿宋_GB2312" w:cs="仿宋_GB2312"/>
          <w:sz w:val="32"/>
          <w:szCs w:val="32"/>
        </w:rPr>
      </w:pPr>
    </w:p>
    <w:tbl>
      <w:tblPr>
        <w:tblStyle w:val="5"/>
        <w:tblW w:w="8678" w:type="dxa"/>
        <w:tblInd w:w="17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21"/>
        <w:gridCol w:w="1560"/>
        <w:gridCol w:w="1397"/>
      </w:tblGrid>
      <w:tr w14:paraId="509CF7A8">
        <w:trPr>
          <w:trHeight w:val="340" w:hRule="atLeast"/>
        </w:trPr>
        <w:tc>
          <w:tcPr>
            <w:tcW w:w="5721" w:type="dxa"/>
            <w:tcBorders>
              <w:left w:val="nil"/>
            </w:tcBorders>
            <w:vAlign w:val="top"/>
          </w:tcPr>
          <w:p w14:paraId="061004E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560" w:type="dxa"/>
            <w:vAlign w:val="top"/>
          </w:tcPr>
          <w:p w14:paraId="48501AF5">
            <w:pPr>
              <w:pStyle w:val="6"/>
              <w:keepNext w:val="0"/>
              <w:keepLines w:val="0"/>
              <w:pageBreakBefore w:val="0"/>
              <w:widowControl/>
              <w:kinsoku w:val="0"/>
              <w:wordWrap/>
              <w:overflowPunct/>
              <w:topLinePunct w:val="0"/>
              <w:autoSpaceDE w:val="0"/>
              <w:autoSpaceDN w:val="0"/>
              <w:bidi w:val="0"/>
              <w:adjustRightInd w:val="0"/>
              <w:snapToGrid w:val="0"/>
              <w:spacing w:before="61" w:line="240" w:lineRule="auto"/>
              <w:ind w:left="57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6"/>
                <w:sz w:val="24"/>
                <w:szCs w:val="24"/>
              </w:rPr>
              <w:t>****年度</w:t>
            </w:r>
          </w:p>
        </w:tc>
        <w:tc>
          <w:tcPr>
            <w:tcW w:w="1397" w:type="dxa"/>
            <w:tcBorders>
              <w:right w:val="nil"/>
            </w:tcBorders>
            <w:vAlign w:val="top"/>
          </w:tcPr>
          <w:p w14:paraId="1BA9A3BF">
            <w:pPr>
              <w:pStyle w:val="6"/>
              <w:keepNext w:val="0"/>
              <w:keepLines w:val="0"/>
              <w:pageBreakBefore w:val="0"/>
              <w:widowControl/>
              <w:kinsoku w:val="0"/>
              <w:wordWrap/>
              <w:overflowPunct/>
              <w:topLinePunct w:val="0"/>
              <w:autoSpaceDE w:val="0"/>
              <w:autoSpaceDN w:val="0"/>
              <w:bidi w:val="0"/>
              <w:adjustRightInd w:val="0"/>
              <w:snapToGrid w:val="0"/>
              <w:spacing w:before="61" w:line="240" w:lineRule="auto"/>
              <w:ind w:left="426"/>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6"/>
                <w:sz w:val="24"/>
                <w:szCs w:val="24"/>
              </w:rPr>
              <w:t>****年度</w:t>
            </w:r>
          </w:p>
        </w:tc>
      </w:tr>
      <w:tr w14:paraId="26ACF76D">
        <w:trPr>
          <w:trHeight w:val="335" w:hRule="atLeast"/>
        </w:trPr>
        <w:tc>
          <w:tcPr>
            <w:tcW w:w="5721" w:type="dxa"/>
            <w:tcBorders>
              <w:left w:val="nil"/>
            </w:tcBorders>
            <w:vAlign w:val="top"/>
          </w:tcPr>
          <w:p w14:paraId="0D320F42">
            <w:pPr>
              <w:pStyle w:val="6"/>
              <w:keepNext w:val="0"/>
              <w:keepLines w:val="0"/>
              <w:pageBreakBefore w:val="0"/>
              <w:widowControl/>
              <w:kinsoku w:val="0"/>
              <w:wordWrap/>
              <w:overflowPunct/>
              <w:topLinePunct w:val="0"/>
              <w:autoSpaceDE w:val="0"/>
              <w:autoSpaceDN w:val="0"/>
              <w:bidi w:val="0"/>
              <w:adjustRightInd w:val="0"/>
              <w:snapToGrid w:val="0"/>
              <w:spacing w:before="56" w:line="240" w:lineRule="auto"/>
              <w:ind w:left="56"/>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7"/>
                <w:sz w:val="24"/>
                <w:szCs w:val="24"/>
              </w:rPr>
              <w:t>一、营业收入</w:t>
            </w:r>
          </w:p>
        </w:tc>
        <w:tc>
          <w:tcPr>
            <w:tcW w:w="1560" w:type="dxa"/>
            <w:vAlign w:val="top"/>
          </w:tcPr>
          <w:p w14:paraId="4B3F09B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08F017B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558A863F">
        <w:trPr>
          <w:trHeight w:val="336" w:hRule="atLeast"/>
        </w:trPr>
        <w:tc>
          <w:tcPr>
            <w:tcW w:w="5721" w:type="dxa"/>
            <w:tcBorders>
              <w:left w:val="nil"/>
            </w:tcBorders>
            <w:vAlign w:val="top"/>
          </w:tcPr>
          <w:p w14:paraId="7ADE3F66">
            <w:pPr>
              <w:pStyle w:val="6"/>
              <w:keepNext w:val="0"/>
              <w:keepLines w:val="0"/>
              <w:pageBreakBefore w:val="0"/>
              <w:widowControl/>
              <w:kinsoku w:val="0"/>
              <w:wordWrap/>
              <w:overflowPunct/>
              <w:topLinePunct w:val="0"/>
              <w:autoSpaceDE w:val="0"/>
              <w:autoSpaceDN w:val="0"/>
              <w:bidi w:val="0"/>
              <w:adjustRightInd w:val="0"/>
              <w:snapToGrid w:val="0"/>
              <w:spacing w:before="57" w:line="240" w:lineRule="auto"/>
              <w:ind w:left="519"/>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保费收入（减：分出保费）</w:t>
            </w:r>
          </w:p>
        </w:tc>
        <w:tc>
          <w:tcPr>
            <w:tcW w:w="1560" w:type="dxa"/>
            <w:vAlign w:val="top"/>
          </w:tcPr>
          <w:p w14:paraId="3B337BC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3993ED5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5D6D0C32">
        <w:trPr>
          <w:trHeight w:val="335" w:hRule="atLeast"/>
        </w:trPr>
        <w:tc>
          <w:tcPr>
            <w:tcW w:w="5721" w:type="dxa"/>
            <w:tcBorders>
              <w:left w:val="nil"/>
            </w:tcBorders>
            <w:vAlign w:val="top"/>
          </w:tcPr>
          <w:p w14:paraId="737ED89B">
            <w:pPr>
              <w:pStyle w:val="6"/>
              <w:keepNext w:val="0"/>
              <w:keepLines w:val="0"/>
              <w:pageBreakBefore w:val="0"/>
              <w:widowControl/>
              <w:kinsoku w:val="0"/>
              <w:wordWrap/>
              <w:overflowPunct/>
              <w:topLinePunct w:val="0"/>
              <w:autoSpaceDE w:val="0"/>
              <w:autoSpaceDN w:val="0"/>
              <w:bidi w:val="0"/>
              <w:adjustRightInd w:val="0"/>
              <w:snapToGrid w:val="0"/>
              <w:spacing w:before="56" w:line="240" w:lineRule="auto"/>
              <w:ind w:left="52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投资收益</w:t>
            </w:r>
          </w:p>
        </w:tc>
        <w:tc>
          <w:tcPr>
            <w:tcW w:w="1560" w:type="dxa"/>
            <w:vAlign w:val="top"/>
          </w:tcPr>
          <w:p w14:paraId="1630657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06FB906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6CDBF875">
        <w:trPr>
          <w:trHeight w:val="331" w:hRule="atLeast"/>
        </w:trPr>
        <w:tc>
          <w:tcPr>
            <w:tcW w:w="5721" w:type="dxa"/>
            <w:tcBorders>
              <w:left w:val="nil"/>
            </w:tcBorders>
            <w:vAlign w:val="top"/>
          </w:tcPr>
          <w:p w14:paraId="34FD15EC">
            <w:pPr>
              <w:pStyle w:val="6"/>
              <w:keepNext w:val="0"/>
              <w:keepLines w:val="0"/>
              <w:pageBreakBefore w:val="0"/>
              <w:widowControl/>
              <w:kinsoku w:val="0"/>
              <w:wordWrap/>
              <w:overflowPunct/>
              <w:topLinePunct w:val="0"/>
              <w:autoSpaceDE w:val="0"/>
              <w:autoSpaceDN w:val="0"/>
              <w:bidi w:val="0"/>
              <w:adjustRightInd w:val="0"/>
              <w:snapToGrid w:val="0"/>
              <w:spacing w:before="57" w:line="240" w:lineRule="auto"/>
              <w:ind w:left="521"/>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公允价值变动损益</w:t>
            </w:r>
          </w:p>
        </w:tc>
        <w:tc>
          <w:tcPr>
            <w:tcW w:w="1560" w:type="dxa"/>
            <w:vAlign w:val="top"/>
          </w:tcPr>
          <w:p w14:paraId="36CBF5F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2B28BDC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60F02146">
        <w:trPr>
          <w:trHeight w:val="336" w:hRule="atLeast"/>
        </w:trPr>
        <w:tc>
          <w:tcPr>
            <w:tcW w:w="5721" w:type="dxa"/>
            <w:tcBorders>
              <w:left w:val="nil"/>
            </w:tcBorders>
            <w:vAlign w:val="top"/>
          </w:tcPr>
          <w:p w14:paraId="1298D9F0">
            <w:pPr>
              <w:pStyle w:val="6"/>
              <w:keepNext w:val="0"/>
              <w:keepLines w:val="0"/>
              <w:pageBreakBefore w:val="0"/>
              <w:widowControl/>
              <w:kinsoku w:val="0"/>
              <w:wordWrap/>
              <w:overflowPunct/>
              <w:topLinePunct w:val="0"/>
              <w:autoSpaceDE w:val="0"/>
              <w:autoSpaceDN w:val="0"/>
              <w:bidi w:val="0"/>
              <w:adjustRightInd w:val="0"/>
              <w:snapToGrid w:val="0"/>
              <w:spacing w:before="57" w:line="240" w:lineRule="auto"/>
              <w:ind w:left="531"/>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可供出售金融资产公允价值变动</w:t>
            </w:r>
          </w:p>
        </w:tc>
        <w:tc>
          <w:tcPr>
            <w:tcW w:w="1560" w:type="dxa"/>
            <w:vAlign w:val="top"/>
          </w:tcPr>
          <w:p w14:paraId="6A2B957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44A6ED1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6A028BB0">
        <w:trPr>
          <w:trHeight w:val="335" w:hRule="atLeast"/>
        </w:trPr>
        <w:tc>
          <w:tcPr>
            <w:tcW w:w="5721" w:type="dxa"/>
            <w:tcBorders>
              <w:left w:val="nil"/>
            </w:tcBorders>
            <w:vAlign w:val="top"/>
          </w:tcPr>
          <w:p w14:paraId="5837D14B">
            <w:pPr>
              <w:pStyle w:val="6"/>
              <w:keepNext w:val="0"/>
              <w:keepLines w:val="0"/>
              <w:pageBreakBefore w:val="0"/>
              <w:widowControl/>
              <w:kinsoku w:val="0"/>
              <w:wordWrap/>
              <w:overflowPunct/>
              <w:topLinePunct w:val="0"/>
              <w:autoSpaceDE w:val="0"/>
              <w:autoSpaceDN w:val="0"/>
              <w:bidi w:val="0"/>
              <w:adjustRightInd w:val="0"/>
              <w:snapToGrid w:val="0"/>
              <w:spacing w:before="58" w:line="240" w:lineRule="auto"/>
              <w:ind w:left="522"/>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其他收入</w:t>
            </w:r>
          </w:p>
        </w:tc>
        <w:tc>
          <w:tcPr>
            <w:tcW w:w="1560" w:type="dxa"/>
            <w:vAlign w:val="top"/>
          </w:tcPr>
          <w:p w14:paraId="419047F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50C38F0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0073AC4C">
        <w:trPr>
          <w:trHeight w:val="335" w:hRule="atLeast"/>
        </w:trPr>
        <w:tc>
          <w:tcPr>
            <w:tcW w:w="5721" w:type="dxa"/>
            <w:tcBorders>
              <w:left w:val="nil"/>
            </w:tcBorders>
            <w:vAlign w:val="top"/>
          </w:tcPr>
          <w:p w14:paraId="1D91D841">
            <w:pPr>
              <w:pStyle w:val="6"/>
              <w:keepNext w:val="0"/>
              <w:keepLines w:val="0"/>
              <w:pageBreakBefore w:val="0"/>
              <w:widowControl/>
              <w:kinsoku w:val="0"/>
              <w:wordWrap/>
              <w:overflowPunct/>
              <w:topLinePunct w:val="0"/>
              <w:autoSpaceDE w:val="0"/>
              <w:autoSpaceDN w:val="0"/>
              <w:bidi w:val="0"/>
              <w:adjustRightInd w:val="0"/>
              <w:snapToGrid w:val="0"/>
              <w:spacing w:before="58" w:line="240" w:lineRule="auto"/>
              <w:ind w:left="5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5"/>
                <w:sz w:val="24"/>
                <w:szCs w:val="24"/>
              </w:rPr>
              <w:t>二、营业支出</w:t>
            </w:r>
          </w:p>
        </w:tc>
        <w:tc>
          <w:tcPr>
            <w:tcW w:w="1560" w:type="dxa"/>
            <w:vAlign w:val="top"/>
          </w:tcPr>
          <w:p w14:paraId="741F203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36B17F5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5764C862">
        <w:trPr>
          <w:trHeight w:val="336" w:hRule="atLeast"/>
        </w:trPr>
        <w:tc>
          <w:tcPr>
            <w:tcW w:w="5721" w:type="dxa"/>
            <w:tcBorders>
              <w:left w:val="nil"/>
            </w:tcBorders>
            <w:vAlign w:val="top"/>
          </w:tcPr>
          <w:p w14:paraId="2233A7E6">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52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退保金</w:t>
            </w:r>
          </w:p>
        </w:tc>
        <w:tc>
          <w:tcPr>
            <w:tcW w:w="1560" w:type="dxa"/>
            <w:vAlign w:val="top"/>
          </w:tcPr>
          <w:p w14:paraId="5003A2F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751A779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04BB96EA">
        <w:trPr>
          <w:trHeight w:val="335" w:hRule="atLeast"/>
        </w:trPr>
        <w:tc>
          <w:tcPr>
            <w:tcW w:w="5721" w:type="dxa"/>
            <w:tcBorders>
              <w:left w:val="nil"/>
            </w:tcBorders>
            <w:vAlign w:val="top"/>
          </w:tcPr>
          <w:p w14:paraId="6682FDA9">
            <w:pPr>
              <w:pStyle w:val="6"/>
              <w:keepNext w:val="0"/>
              <w:keepLines w:val="0"/>
              <w:pageBreakBefore w:val="0"/>
              <w:widowControl/>
              <w:kinsoku w:val="0"/>
              <w:wordWrap/>
              <w:overflowPunct/>
              <w:topLinePunct w:val="0"/>
              <w:autoSpaceDE w:val="0"/>
              <w:autoSpaceDN w:val="0"/>
              <w:bidi w:val="0"/>
              <w:adjustRightInd w:val="0"/>
              <w:snapToGrid w:val="0"/>
              <w:spacing w:before="56" w:line="240" w:lineRule="auto"/>
              <w:ind w:left="521"/>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赔付支出（减：摊回赔付支出）</w:t>
            </w:r>
          </w:p>
        </w:tc>
        <w:tc>
          <w:tcPr>
            <w:tcW w:w="1560" w:type="dxa"/>
            <w:vAlign w:val="top"/>
          </w:tcPr>
          <w:p w14:paraId="42C9B37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779792A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66213AA5">
        <w:trPr>
          <w:trHeight w:val="331" w:hRule="atLeast"/>
        </w:trPr>
        <w:tc>
          <w:tcPr>
            <w:tcW w:w="5721" w:type="dxa"/>
            <w:tcBorders>
              <w:left w:val="nil"/>
            </w:tcBorders>
            <w:vAlign w:val="top"/>
          </w:tcPr>
          <w:p w14:paraId="3DB36A09">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52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提取分红保险准备金（减：摊回准备金）</w:t>
            </w:r>
          </w:p>
        </w:tc>
        <w:tc>
          <w:tcPr>
            <w:tcW w:w="1560" w:type="dxa"/>
            <w:vAlign w:val="top"/>
          </w:tcPr>
          <w:p w14:paraId="6B4370A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15D7702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33DDC502">
        <w:trPr>
          <w:trHeight w:val="335" w:hRule="atLeast"/>
        </w:trPr>
        <w:tc>
          <w:tcPr>
            <w:tcW w:w="5721" w:type="dxa"/>
            <w:tcBorders>
              <w:left w:val="nil"/>
            </w:tcBorders>
            <w:vAlign w:val="top"/>
          </w:tcPr>
          <w:p w14:paraId="5DD9B0EC">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536"/>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营业税金及附加</w:t>
            </w:r>
          </w:p>
        </w:tc>
        <w:tc>
          <w:tcPr>
            <w:tcW w:w="1560" w:type="dxa"/>
            <w:vAlign w:val="top"/>
          </w:tcPr>
          <w:p w14:paraId="12330D0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2B5929D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47E34708">
        <w:trPr>
          <w:trHeight w:val="336" w:hRule="atLeast"/>
        </w:trPr>
        <w:tc>
          <w:tcPr>
            <w:tcW w:w="5721" w:type="dxa"/>
            <w:tcBorders>
              <w:left w:val="nil"/>
            </w:tcBorders>
            <w:vAlign w:val="top"/>
          </w:tcPr>
          <w:p w14:paraId="5D676739">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531"/>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手续费及佣金支出</w:t>
            </w:r>
          </w:p>
        </w:tc>
        <w:tc>
          <w:tcPr>
            <w:tcW w:w="1560" w:type="dxa"/>
            <w:vAlign w:val="top"/>
          </w:tcPr>
          <w:p w14:paraId="33A2248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6CC3C35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354CE364">
        <w:trPr>
          <w:trHeight w:val="335" w:hRule="atLeast"/>
        </w:trPr>
        <w:tc>
          <w:tcPr>
            <w:tcW w:w="5721" w:type="dxa"/>
            <w:tcBorders>
              <w:left w:val="nil"/>
            </w:tcBorders>
            <w:vAlign w:val="top"/>
          </w:tcPr>
          <w:p w14:paraId="5AA91ED5">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531"/>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业务及管理费（减：摊回分保费用）</w:t>
            </w:r>
          </w:p>
        </w:tc>
        <w:tc>
          <w:tcPr>
            <w:tcW w:w="1560" w:type="dxa"/>
            <w:vAlign w:val="top"/>
          </w:tcPr>
          <w:p w14:paraId="664CF9D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0307C43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37E19978">
        <w:trPr>
          <w:trHeight w:val="335" w:hRule="atLeast"/>
        </w:trPr>
        <w:tc>
          <w:tcPr>
            <w:tcW w:w="5721" w:type="dxa"/>
            <w:tcBorders>
              <w:left w:val="nil"/>
            </w:tcBorders>
            <w:vAlign w:val="top"/>
          </w:tcPr>
          <w:p w14:paraId="2FC12EE4">
            <w:pPr>
              <w:pStyle w:val="6"/>
              <w:keepNext w:val="0"/>
              <w:keepLines w:val="0"/>
              <w:pageBreakBefore w:val="0"/>
              <w:widowControl/>
              <w:kinsoku w:val="0"/>
              <w:wordWrap/>
              <w:overflowPunct/>
              <w:topLinePunct w:val="0"/>
              <w:autoSpaceDE w:val="0"/>
              <w:autoSpaceDN w:val="0"/>
              <w:bidi w:val="0"/>
              <w:adjustRightInd w:val="0"/>
              <w:snapToGrid w:val="0"/>
              <w:spacing w:before="61" w:line="240" w:lineRule="auto"/>
              <w:ind w:left="531"/>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资产减值损失</w:t>
            </w:r>
          </w:p>
        </w:tc>
        <w:tc>
          <w:tcPr>
            <w:tcW w:w="1560" w:type="dxa"/>
            <w:vAlign w:val="top"/>
          </w:tcPr>
          <w:p w14:paraId="7C2B0B5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41A4596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12F4A19C">
        <w:trPr>
          <w:trHeight w:val="336" w:hRule="atLeast"/>
        </w:trPr>
        <w:tc>
          <w:tcPr>
            <w:tcW w:w="5721" w:type="dxa"/>
            <w:tcBorders>
              <w:left w:val="nil"/>
            </w:tcBorders>
            <w:vAlign w:val="top"/>
          </w:tcPr>
          <w:p w14:paraId="22153830">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522"/>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其他支出</w:t>
            </w:r>
          </w:p>
        </w:tc>
        <w:tc>
          <w:tcPr>
            <w:tcW w:w="1560" w:type="dxa"/>
            <w:vAlign w:val="top"/>
          </w:tcPr>
          <w:p w14:paraId="1FEDAF4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7C9C6A4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1916C78E">
        <w:trPr>
          <w:trHeight w:val="331" w:hRule="atLeast"/>
        </w:trPr>
        <w:tc>
          <w:tcPr>
            <w:tcW w:w="5721" w:type="dxa"/>
            <w:tcBorders>
              <w:left w:val="nil"/>
            </w:tcBorders>
            <w:vAlign w:val="top"/>
          </w:tcPr>
          <w:p w14:paraId="0111FC23">
            <w:pPr>
              <w:pStyle w:val="6"/>
              <w:keepNext w:val="0"/>
              <w:keepLines w:val="0"/>
              <w:pageBreakBefore w:val="0"/>
              <w:widowControl/>
              <w:kinsoku w:val="0"/>
              <w:wordWrap/>
              <w:overflowPunct/>
              <w:topLinePunct w:val="0"/>
              <w:autoSpaceDE w:val="0"/>
              <w:autoSpaceDN w:val="0"/>
              <w:bidi w:val="0"/>
              <w:adjustRightInd w:val="0"/>
              <w:snapToGrid w:val="0"/>
              <w:spacing w:before="61" w:line="240" w:lineRule="auto"/>
              <w:ind w:left="58"/>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5"/>
                <w:sz w:val="24"/>
                <w:szCs w:val="24"/>
              </w:rPr>
              <w:t>三、本期综合盈余</w:t>
            </w:r>
          </w:p>
        </w:tc>
        <w:tc>
          <w:tcPr>
            <w:tcW w:w="1560" w:type="dxa"/>
            <w:vAlign w:val="top"/>
          </w:tcPr>
          <w:p w14:paraId="298DB95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2298393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3B379DB3">
        <w:trPr>
          <w:trHeight w:val="499" w:hRule="atLeast"/>
        </w:trPr>
        <w:tc>
          <w:tcPr>
            <w:tcW w:w="5721" w:type="dxa"/>
            <w:tcBorders>
              <w:left w:val="nil"/>
            </w:tcBorders>
            <w:vAlign w:val="top"/>
          </w:tcPr>
          <w:p w14:paraId="571504E1">
            <w:pPr>
              <w:pStyle w:val="6"/>
              <w:keepNext w:val="0"/>
              <w:keepLines w:val="0"/>
              <w:pageBreakBefore w:val="0"/>
              <w:widowControl/>
              <w:kinsoku w:val="0"/>
              <w:wordWrap/>
              <w:overflowPunct/>
              <w:topLinePunct w:val="0"/>
              <w:autoSpaceDE w:val="0"/>
              <w:autoSpaceDN w:val="0"/>
              <w:bidi w:val="0"/>
              <w:adjustRightInd w:val="0"/>
              <w:snapToGrid w:val="0"/>
              <w:spacing w:before="142" w:line="240" w:lineRule="auto"/>
              <w:ind w:left="49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w:t>
            </w:r>
            <w:r>
              <w:rPr>
                <w:rFonts w:hint="eastAsia" w:ascii="仿宋_GB2312" w:hAnsi="仿宋_GB2312" w:eastAsia="仿宋_GB2312" w:cs="仿宋_GB2312"/>
                <w:b/>
                <w:bCs/>
                <w:spacing w:val="-3"/>
                <w:sz w:val="24"/>
                <w:szCs w:val="24"/>
              </w:rPr>
              <w:t>本期股东专属综合盈余</w:t>
            </w:r>
          </w:p>
        </w:tc>
        <w:tc>
          <w:tcPr>
            <w:tcW w:w="1560" w:type="dxa"/>
            <w:vAlign w:val="top"/>
          </w:tcPr>
          <w:p w14:paraId="32DA448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4B83C06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02E4CEC0">
        <w:trPr>
          <w:trHeight w:val="335" w:hRule="atLeast"/>
        </w:trPr>
        <w:tc>
          <w:tcPr>
            <w:tcW w:w="5721" w:type="dxa"/>
            <w:tcBorders>
              <w:left w:val="nil"/>
            </w:tcBorders>
            <w:vAlign w:val="top"/>
          </w:tcPr>
          <w:p w14:paraId="28B32BD8">
            <w:pPr>
              <w:pStyle w:val="6"/>
              <w:keepNext w:val="0"/>
              <w:keepLines w:val="0"/>
              <w:pageBreakBefore w:val="0"/>
              <w:widowControl/>
              <w:kinsoku w:val="0"/>
              <w:wordWrap/>
              <w:overflowPunct/>
              <w:topLinePunct w:val="0"/>
              <w:autoSpaceDE w:val="0"/>
              <w:autoSpaceDN w:val="0"/>
              <w:bidi w:val="0"/>
              <w:adjustRightInd w:val="0"/>
              <w:snapToGrid w:val="0"/>
              <w:spacing w:before="61" w:line="240" w:lineRule="auto"/>
              <w:ind w:left="49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w:t>
            </w:r>
            <w:r>
              <w:rPr>
                <w:rFonts w:hint="eastAsia" w:ascii="仿宋_GB2312" w:hAnsi="仿宋_GB2312" w:eastAsia="仿宋_GB2312" w:cs="仿宋_GB2312"/>
                <w:b/>
                <w:bCs/>
                <w:spacing w:val="-3"/>
                <w:sz w:val="24"/>
                <w:szCs w:val="24"/>
              </w:rPr>
              <w:t>本期分红账户共有综合盈余</w:t>
            </w:r>
          </w:p>
        </w:tc>
        <w:tc>
          <w:tcPr>
            <w:tcW w:w="1560" w:type="dxa"/>
            <w:vAlign w:val="top"/>
          </w:tcPr>
          <w:p w14:paraId="31885C1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0E65239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5CD44A91">
        <w:trPr>
          <w:trHeight w:val="336" w:hRule="atLeast"/>
        </w:trPr>
        <w:tc>
          <w:tcPr>
            <w:tcW w:w="5721" w:type="dxa"/>
            <w:tcBorders>
              <w:left w:val="nil"/>
            </w:tcBorders>
            <w:vAlign w:val="top"/>
          </w:tcPr>
          <w:p w14:paraId="557BA993">
            <w:pPr>
              <w:pStyle w:val="6"/>
              <w:keepNext w:val="0"/>
              <w:keepLines w:val="0"/>
              <w:pageBreakBefore w:val="0"/>
              <w:widowControl/>
              <w:kinsoku w:val="0"/>
              <w:wordWrap/>
              <w:overflowPunct/>
              <w:topLinePunct w:val="0"/>
              <w:autoSpaceDE w:val="0"/>
              <w:autoSpaceDN w:val="0"/>
              <w:bidi w:val="0"/>
              <w:adjustRightInd w:val="0"/>
              <w:snapToGrid w:val="0"/>
              <w:spacing w:before="62" w:line="240" w:lineRule="auto"/>
              <w:ind w:left="68"/>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5"/>
                <w:sz w:val="24"/>
                <w:szCs w:val="24"/>
              </w:rPr>
              <w:t>四、转回分红保险特别储备</w:t>
            </w:r>
          </w:p>
        </w:tc>
        <w:tc>
          <w:tcPr>
            <w:tcW w:w="1560" w:type="dxa"/>
            <w:vAlign w:val="top"/>
          </w:tcPr>
          <w:p w14:paraId="067C948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6429835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4E012614">
        <w:trPr>
          <w:trHeight w:val="336" w:hRule="atLeast"/>
        </w:trPr>
        <w:tc>
          <w:tcPr>
            <w:tcW w:w="5721" w:type="dxa"/>
            <w:tcBorders>
              <w:left w:val="nil"/>
            </w:tcBorders>
            <w:vAlign w:val="top"/>
          </w:tcPr>
          <w:p w14:paraId="05111FB2">
            <w:pPr>
              <w:pStyle w:val="6"/>
              <w:keepNext w:val="0"/>
              <w:keepLines w:val="0"/>
              <w:pageBreakBefore w:val="0"/>
              <w:widowControl/>
              <w:kinsoku w:val="0"/>
              <w:wordWrap/>
              <w:overflowPunct/>
              <w:topLinePunct w:val="0"/>
              <w:autoSpaceDE w:val="0"/>
              <w:autoSpaceDN w:val="0"/>
              <w:bidi w:val="0"/>
              <w:adjustRightInd w:val="0"/>
              <w:snapToGrid w:val="0"/>
              <w:spacing w:before="62" w:line="240" w:lineRule="auto"/>
              <w:ind w:left="49"/>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3"/>
                <w:sz w:val="24"/>
                <w:szCs w:val="24"/>
              </w:rPr>
              <w:t>五、上一年度红利派发差异调整</w:t>
            </w:r>
          </w:p>
        </w:tc>
        <w:tc>
          <w:tcPr>
            <w:tcW w:w="1560" w:type="dxa"/>
            <w:vAlign w:val="top"/>
          </w:tcPr>
          <w:p w14:paraId="108EA10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4AD772F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53B6A6BF">
        <w:trPr>
          <w:trHeight w:val="336" w:hRule="atLeast"/>
        </w:trPr>
        <w:tc>
          <w:tcPr>
            <w:tcW w:w="5721" w:type="dxa"/>
            <w:tcBorders>
              <w:left w:val="nil"/>
            </w:tcBorders>
            <w:vAlign w:val="top"/>
          </w:tcPr>
          <w:p w14:paraId="23DFBB89">
            <w:pPr>
              <w:pStyle w:val="6"/>
              <w:keepNext w:val="0"/>
              <w:keepLines w:val="0"/>
              <w:pageBreakBefore w:val="0"/>
              <w:widowControl/>
              <w:kinsoku w:val="0"/>
              <w:wordWrap/>
              <w:overflowPunct/>
              <w:topLinePunct w:val="0"/>
              <w:autoSpaceDE w:val="0"/>
              <w:autoSpaceDN w:val="0"/>
              <w:bidi w:val="0"/>
              <w:adjustRightInd w:val="0"/>
              <w:snapToGrid w:val="0"/>
              <w:spacing w:before="62" w:line="240" w:lineRule="auto"/>
              <w:ind w:left="60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——保户保单红利调整</w:t>
            </w:r>
          </w:p>
        </w:tc>
        <w:tc>
          <w:tcPr>
            <w:tcW w:w="1560" w:type="dxa"/>
            <w:vAlign w:val="top"/>
          </w:tcPr>
          <w:p w14:paraId="4876BE8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39D8F05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09D16D2C">
        <w:trPr>
          <w:trHeight w:val="331" w:hRule="atLeast"/>
        </w:trPr>
        <w:tc>
          <w:tcPr>
            <w:tcW w:w="5721" w:type="dxa"/>
            <w:tcBorders>
              <w:left w:val="nil"/>
            </w:tcBorders>
            <w:vAlign w:val="top"/>
          </w:tcPr>
          <w:p w14:paraId="115B4615">
            <w:pPr>
              <w:pStyle w:val="6"/>
              <w:keepNext w:val="0"/>
              <w:keepLines w:val="0"/>
              <w:pageBreakBefore w:val="0"/>
              <w:widowControl/>
              <w:kinsoku w:val="0"/>
              <w:wordWrap/>
              <w:overflowPunct/>
              <w:topLinePunct w:val="0"/>
              <w:autoSpaceDE w:val="0"/>
              <w:autoSpaceDN w:val="0"/>
              <w:bidi w:val="0"/>
              <w:adjustRightInd w:val="0"/>
              <w:snapToGrid w:val="0"/>
              <w:spacing w:before="57" w:line="240" w:lineRule="auto"/>
              <w:ind w:left="60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——股东保单红利调整</w:t>
            </w:r>
          </w:p>
        </w:tc>
        <w:tc>
          <w:tcPr>
            <w:tcW w:w="1560" w:type="dxa"/>
            <w:vAlign w:val="top"/>
          </w:tcPr>
          <w:p w14:paraId="0F7EF5D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555D66C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44836D49">
        <w:trPr>
          <w:trHeight w:val="336" w:hRule="atLeast"/>
        </w:trPr>
        <w:tc>
          <w:tcPr>
            <w:tcW w:w="5721" w:type="dxa"/>
            <w:tcBorders>
              <w:left w:val="nil"/>
            </w:tcBorders>
            <w:vAlign w:val="top"/>
          </w:tcPr>
          <w:p w14:paraId="11F03B7C">
            <w:pPr>
              <w:pStyle w:val="6"/>
              <w:keepNext w:val="0"/>
              <w:keepLines w:val="0"/>
              <w:pageBreakBefore w:val="0"/>
              <w:widowControl/>
              <w:kinsoku w:val="0"/>
              <w:wordWrap/>
              <w:overflowPunct/>
              <w:topLinePunct w:val="0"/>
              <w:autoSpaceDE w:val="0"/>
              <w:autoSpaceDN w:val="0"/>
              <w:bidi w:val="0"/>
              <w:adjustRightInd w:val="0"/>
              <w:snapToGrid w:val="0"/>
              <w:spacing w:before="52" w:line="240" w:lineRule="auto"/>
              <w:ind w:left="51"/>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3"/>
                <w:sz w:val="24"/>
                <w:szCs w:val="24"/>
              </w:rPr>
              <w:t>六、本期分红前共有综合盈余</w:t>
            </w:r>
          </w:p>
        </w:tc>
        <w:tc>
          <w:tcPr>
            <w:tcW w:w="1560" w:type="dxa"/>
            <w:vAlign w:val="top"/>
          </w:tcPr>
          <w:p w14:paraId="1EAD307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133EE01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33496344">
        <w:trPr>
          <w:trHeight w:val="336" w:hRule="atLeast"/>
        </w:trPr>
        <w:tc>
          <w:tcPr>
            <w:tcW w:w="5721" w:type="dxa"/>
            <w:tcBorders>
              <w:left w:val="nil"/>
            </w:tcBorders>
            <w:vAlign w:val="top"/>
          </w:tcPr>
          <w:p w14:paraId="130C4789">
            <w:pPr>
              <w:pStyle w:val="6"/>
              <w:keepNext w:val="0"/>
              <w:keepLines w:val="0"/>
              <w:pageBreakBefore w:val="0"/>
              <w:widowControl/>
              <w:kinsoku w:val="0"/>
              <w:wordWrap/>
              <w:overflowPunct/>
              <w:topLinePunct w:val="0"/>
              <w:autoSpaceDE w:val="0"/>
              <w:autoSpaceDN w:val="0"/>
              <w:bidi w:val="0"/>
              <w:adjustRightInd w:val="0"/>
              <w:snapToGrid w:val="0"/>
              <w:spacing w:before="62" w:line="240" w:lineRule="auto"/>
              <w:ind w:left="47"/>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3"/>
                <w:sz w:val="24"/>
                <w:szCs w:val="24"/>
              </w:rPr>
              <w:t>七、本期可分配盈余</w:t>
            </w:r>
          </w:p>
        </w:tc>
        <w:tc>
          <w:tcPr>
            <w:tcW w:w="1560" w:type="dxa"/>
            <w:vAlign w:val="top"/>
          </w:tcPr>
          <w:p w14:paraId="0CA3FB2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48BEC48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1C48706C">
        <w:trPr>
          <w:trHeight w:val="336" w:hRule="atLeast"/>
        </w:trPr>
        <w:tc>
          <w:tcPr>
            <w:tcW w:w="5721" w:type="dxa"/>
            <w:tcBorders>
              <w:left w:val="nil"/>
            </w:tcBorders>
            <w:vAlign w:val="top"/>
          </w:tcPr>
          <w:p w14:paraId="7F7A1BB8">
            <w:pPr>
              <w:pStyle w:val="6"/>
              <w:keepNext w:val="0"/>
              <w:keepLines w:val="0"/>
              <w:pageBreakBefore w:val="0"/>
              <w:widowControl/>
              <w:kinsoku w:val="0"/>
              <w:wordWrap/>
              <w:overflowPunct/>
              <w:topLinePunct w:val="0"/>
              <w:autoSpaceDE w:val="0"/>
              <w:autoSpaceDN w:val="0"/>
              <w:bidi w:val="0"/>
              <w:adjustRightInd w:val="0"/>
              <w:snapToGrid w:val="0"/>
              <w:spacing w:before="52" w:line="240" w:lineRule="auto"/>
              <w:ind w:left="49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——本期保户保单红利</w:t>
            </w:r>
          </w:p>
        </w:tc>
        <w:tc>
          <w:tcPr>
            <w:tcW w:w="1560" w:type="dxa"/>
            <w:vAlign w:val="top"/>
          </w:tcPr>
          <w:p w14:paraId="5A528EA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6518AF5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20370661">
        <w:trPr>
          <w:trHeight w:val="336" w:hRule="atLeast"/>
        </w:trPr>
        <w:tc>
          <w:tcPr>
            <w:tcW w:w="5721" w:type="dxa"/>
            <w:tcBorders>
              <w:left w:val="nil"/>
            </w:tcBorders>
            <w:vAlign w:val="top"/>
          </w:tcPr>
          <w:p w14:paraId="756ADDDC">
            <w:pPr>
              <w:pStyle w:val="6"/>
              <w:keepNext w:val="0"/>
              <w:keepLines w:val="0"/>
              <w:pageBreakBefore w:val="0"/>
              <w:widowControl/>
              <w:kinsoku w:val="0"/>
              <w:wordWrap/>
              <w:overflowPunct/>
              <w:topLinePunct w:val="0"/>
              <w:autoSpaceDE w:val="0"/>
              <w:autoSpaceDN w:val="0"/>
              <w:bidi w:val="0"/>
              <w:adjustRightInd w:val="0"/>
              <w:snapToGrid w:val="0"/>
              <w:spacing w:before="60" w:line="240" w:lineRule="auto"/>
              <w:ind w:left="49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——本期股东保单红利</w:t>
            </w:r>
          </w:p>
        </w:tc>
        <w:tc>
          <w:tcPr>
            <w:tcW w:w="1560" w:type="dxa"/>
            <w:vAlign w:val="top"/>
          </w:tcPr>
          <w:p w14:paraId="44A3220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089A3DB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2A362B4E">
        <w:trPr>
          <w:trHeight w:val="336" w:hRule="atLeast"/>
        </w:trPr>
        <w:tc>
          <w:tcPr>
            <w:tcW w:w="5721" w:type="dxa"/>
            <w:tcBorders>
              <w:left w:val="nil"/>
            </w:tcBorders>
            <w:vAlign w:val="top"/>
          </w:tcPr>
          <w:p w14:paraId="1DBF94C2">
            <w:pPr>
              <w:pStyle w:val="6"/>
              <w:keepNext w:val="0"/>
              <w:keepLines w:val="0"/>
              <w:pageBreakBefore w:val="0"/>
              <w:widowControl/>
              <w:kinsoku w:val="0"/>
              <w:wordWrap/>
              <w:overflowPunct/>
              <w:topLinePunct w:val="0"/>
              <w:autoSpaceDE w:val="0"/>
              <w:autoSpaceDN w:val="0"/>
              <w:bidi w:val="0"/>
              <w:adjustRightInd w:val="0"/>
              <w:snapToGrid w:val="0"/>
              <w:spacing w:before="60" w:line="240" w:lineRule="auto"/>
              <w:ind w:left="46"/>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3"/>
                <w:sz w:val="24"/>
                <w:szCs w:val="24"/>
              </w:rPr>
              <w:t>八、本期分红后的分红保险特别储备</w:t>
            </w:r>
          </w:p>
        </w:tc>
        <w:tc>
          <w:tcPr>
            <w:tcW w:w="1560" w:type="dxa"/>
            <w:vAlign w:val="top"/>
          </w:tcPr>
          <w:p w14:paraId="2B1D2ED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2C3A9CD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2681F2E4">
        <w:trPr>
          <w:trHeight w:val="331" w:hRule="atLeast"/>
        </w:trPr>
        <w:tc>
          <w:tcPr>
            <w:tcW w:w="5721" w:type="dxa"/>
            <w:tcBorders>
              <w:left w:val="nil"/>
            </w:tcBorders>
            <w:vAlign w:val="top"/>
          </w:tcPr>
          <w:p w14:paraId="5F4BB413">
            <w:pPr>
              <w:pStyle w:val="6"/>
              <w:keepNext w:val="0"/>
              <w:keepLines w:val="0"/>
              <w:pageBreakBefore w:val="0"/>
              <w:widowControl/>
              <w:kinsoku w:val="0"/>
              <w:wordWrap/>
              <w:overflowPunct/>
              <w:topLinePunct w:val="0"/>
              <w:autoSpaceDE w:val="0"/>
              <w:autoSpaceDN w:val="0"/>
              <w:bidi w:val="0"/>
              <w:adjustRightInd w:val="0"/>
              <w:snapToGrid w:val="0"/>
              <w:spacing w:before="55" w:line="240" w:lineRule="auto"/>
              <w:ind w:left="4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3"/>
                <w:sz w:val="24"/>
                <w:szCs w:val="24"/>
              </w:rPr>
              <w:t>九、分红保险准备金余额</w:t>
            </w:r>
          </w:p>
        </w:tc>
        <w:tc>
          <w:tcPr>
            <w:tcW w:w="1560" w:type="dxa"/>
            <w:vAlign w:val="top"/>
          </w:tcPr>
          <w:p w14:paraId="4BB2B44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5E55806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2E90D73B">
        <w:trPr>
          <w:trHeight w:val="340" w:hRule="atLeast"/>
        </w:trPr>
        <w:tc>
          <w:tcPr>
            <w:tcW w:w="5721" w:type="dxa"/>
            <w:tcBorders>
              <w:left w:val="nil"/>
            </w:tcBorders>
            <w:vAlign w:val="top"/>
          </w:tcPr>
          <w:p w14:paraId="15298F8A">
            <w:pPr>
              <w:pStyle w:val="6"/>
              <w:keepNext w:val="0"/>
              <w:keepLines w:val="0"/>
              <w:pageBreakBefore w:val="0"/>
              <w:widowControl/>
              <w:kinsoku w:val="0"/>
              <w:wordWrap/>
              <w:overflowPunct/>
              <w:topLinePunct w:val="0"/>
              <w:autoSpaceDE w:val="0"/>
              <w:autoSpaceDN w:val="0"/>
              <w:bidi w:val="0"/>
              <w:adjustRightInd w:val="0"/>
              <w:snapToGrid w:val="0"/>
              <w:spacing w:before="61" w:line="240" w:lineRule="auto"/>
              <w:ind w:left="51"/>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3"/>
                <w:sz w:val="24"/>
                <w:szCs w:val="24"/>
              </w:rPr>
              <w:t>十、分红保险特别储备余额与分红保险准备金余额的比值</w:t>
            </w:r>
          </w:p>
        </w:tc>
        <w:tc>
          <w:tcPr>
            <w:tcW w:w="1560" w:type="dxa"/>
            <w:vAlign w:val="top"/>
          </w:tcPr>
          <w:p w14:paraId="4B6ED14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97" w:type="dxa"/>
            <w:tcBorders>
              <w:right w:val="nil"/>
            </w:tcBorders>
            <w:vAlign w:val="top"/>
          </w:tcPr>
          <w:p w14:paraId="7B67C89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bl>
    <w:p w14:paraId="3EF31D8E">
      <w:pPr>
        <w:rPr>
          <w:rFonts w:hint="eastAsia" w:ascii="仿宋_GB2312" w:hAnsi="仿宋_GB2312" w:eastAsia="仿宋_GB2312" w:cs="仿宋_GB2312"/>
          <w:sz w:val="32"/>
          <w:szCs w:val="32"/>
        </w:rPr>
      </w:pPr>
    </w:p>
    <w:p w14:paraId="493215EE">
      <w:pPr>
        <w:spacing w:line="275" w:lineRule="auto"/>
        <w:rPr>
          <w:rFonts w:hint="eastAsia" w:ascii="仿宋_GB2312" w:hAnsi="仿宋_GB2312" w:eastAsia="仿宋_GB2312" w:cs="仿宋_GB2312"/>
          <w:sz w:val="32"/>
          <w:szCs w:val="32"/>
        </w:rPr>
      </w:pPr>
    </w:p>
    <w:p w14:paraId="7406DD51">
      <w:pPr>
        <w:spacing w:line="276" w:lineRule="auto"/>
        <w:rPr>
          <w:rFonts w:hint="eastAsia" w:ascii="仿宋_GB2312" w:hAnsi="仿宋_GB2312" w:eastAsia="仿宋_GB2312" w:cs="仿宋_GB2312"/>
          <w:sz w:val="32"/>
          <w:szCs w:val="32"/>
        </w:rPr>
      </w:pPr>
    </w:p>
    <w:p w14:paraId="5CCB7A36">
      <w:pPr>
        <w:pStyle w:val="2"/>
        <w:spacing w:before="200" w:line="19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17"/>
          <w:sz w:val="32"/>
          <w:szCs w:val="32"/>
        </w:rPr>
        <w:t>XXXX 账户分红保险盈余计算与分配表（</w:t>
      </w:r>
      <w:r>
        <w:rPr>
          <w:rFonts w:hint="eastAsia" w:ascii="仿宋_GB2312" w:hAnsi="仿宋_GB2312" w:eastAsia="仿宋_GB2312" w:cs="仿宋_GB2312"/>
          <w:spacing w:val="-18"/>
          <w:sz w:val="32"/>
          <w:szCs w:val="32"/>
        </w:rPr>
        <w:t>格式三）</w:t>
      </w:r>
    </w:p>
    <w:p w14:paraId="19622075">
      <w:pPr>
        <w:spacing w:before="153"/>
        <w:rPr>
          <w:rFonts w:hint="eastAsia" w:ascii="仿宋_GB2312" w:hAnsi="仿宋_GB2312" w:eastAsia="仿宋_GB2312" w:cs="仿宋_GB2312"/>
          <w:sz w:val="32"/>
          <w:szCs w:val="32"/>
        </w:rPr>
      </w:pPr>
    </w:p>
    <w:tbl>
      <w:tblPr>
        <w:tblStyle w:val="5"/>
        <w:tblW w:w="8880" w:type="dxa"/>
        <w:tblInd w:w="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22"/>
        <w:gridCol w:w="1560"/>
        <w:gridCol w:w="1498"/>
      </w:tblGrid>
      <w:tr w14:paraId="4202EB5B">
        <w:trPr>
          <w:trHeight w:val="340" w:hRule="atLeast"/>
        </w:trPr>
        <w:tc>
          <w:tcPr>
            <w:tcW w:w="5822" w:type="dxa"/>
            <w:tcBorders>
              <w:left w:val="nil"/>
            </w:tcBorders>
            <w:vAlign w:val="top"/>
          </w:tcPr>
          <w:p w14:paraId="7E55C24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560" w:type="dxa"/>
            <w:vAlign w:val="top"/>
          </w:tcPr>
          <w:p w14:paraId="76E3FEA8">
            <w:pPr>
              <w:pStyle w:val="6"/>
              <w:keepNext w:val="0"/>
              <w:keepLines w:val="0"/>
              <w:pageBreakBefore w:val="0"/>
              <w:widowControl/>
              <w:kinsoku w:val="0"/>
              <w:wordWrap/>
              <w:overflowPunct/>
              <w:topLinePunct w:val="0"/>
              <w:autoSpaceDE w:val="0"/>
              <w:autoSpaceDN w:val="0"/>
              <w:bidi w:val="0"/>
              <w:adjustRightInd w:val="0"/>
              <w:snapToGrid w:val="0"/>
              <w:spacing w:before="61" w:line="240" w:lineRule="auto"/>
              <w:ind w:left="57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6"/>
                <w:sz w:val="24"/>
                <w:szCs w:val="24"/>
              </w:rPr>
              <w:t>****年度</w:t>
            </w:r>
          </w:p>
        </w:tc>
        <w:tc>
          <w:tcPr>
            <w:tcW w:w="1498" w:type="dxa"/>
            <w:tcBorders>
              <w:right w:val="nil"/>
            </w:tcBorders>
            <w:vAlign w:val="top"/>
          </w:tcPr>
          <w:p w14:paraId="1624C2AB">
            <w:pPr>
              <w:pStyle w:val="6"/>
              <w:keepNext w:val="0"/>
              <w:keepLines w:val="0"/>
              <w:pageBreakBefore w:val="0"/>
              <w:widowControl/>
              <w:kinsoku w:val="0"/>
              <w:wordWrap/>
              <w:overflowPunct/>
              <w:topLinePunct w:val="0"/>
              <w:autoSpaceDE w:val="0"/>
              <w:autoSpaceDN w:val="0"/>
              <w:bidi w:val="0"/>
              <w:adjustRightInd w:val="0"/>
              <w:snapToGrid w:val="0"/>
              <w:spacing w:before="61" w:line="240" w:lineRule="auto"/>
              <w:ind w:left="522"/>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6"/>
                <w:sz w:val="24"/>
                <w:szCs w:val="24"/>
              </w:rPr>
              <w:t>****年度</w:t>
            </w:r>
          </w:p>
        </w:tc>
      </w:tr>
      <w:tr w14:paraId="04229FDF">
        <w:trPr>
          <w:trHeight w:val="335" w:hRule="atLeast"/>
        </w:trPr>
        <w:tc>
          <w:tcPr>
            <w:tcW w:w="5822" w:type="dxa"/>
            <w:tcBorders>
              <w:left w:val="nil"/>
            </w:tcBorders>
            <w:vAlign w:val="top"/>
          </w:tcPr>
          <w:p w14:paraId="56960652">
            <w:pPr>
              <w:pStyle w:val="6"/>
              <w:keepNext w:val="0"/>
              <w:keepLines w:val="0"/>
              <w:pageBreakBefore w:val="0"/>
              <w:widowControl/>
              <w:kinsoku w:val="0"/>
              <w:wordWrap/>
              <w:overflowPunct/>
              <w:topLinePunct w:val="0"/>
              <w:autoSpaceDE w:val="0"/>
              <w:autoSpaceDN w:val="0"/>
              <w:bidi w:val="0"/>
              <w:adjustRightInd w:val="0"/>
              <w:snapToGrid w:val="0"/>
              <w:spacing w:before="56" w:line="240" w:lineRule="auto"/>
              <w:ind w:left="56"/>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5"/>
                <w:sz w:val="24"/>
                <w:szCs w:val="24"/>
              </w:rPr>
              <w:t>一、本期分红账户共有盈余</w:t>
            </w:r>
          </w:p>
        </w:tc>
        <w:tc>
          <w:tcPr>
            <w:tcW w:w="1560" w:type="dxa"/>
            <w:vAlign w:val="top"/>
          </w:tcPr>
          <w:p w14:paraId="046E9A0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498" w:type="dxa"/>
            <w:tcBorders>
              <w:right w:val="nil"/>
            </w:tcBorders>
            <w:vAlign w:val="top"/>
          </w:tcPr>
          <w:p w14:paraId="4652F80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216C2E32">
        <w:trPr>
          <w:trHeight w:val="336" w:hRule="atLeast"/>
        </w:trPr>
        <w:tc>
          <w:tcPr>
            <w:tcW w:w="5822" w:type="dxa"/>
            <w:tcBorders>
              <w:left w:val="nil"/>
            </w:tcBorders>
            <w:vAlign w:val="top"/>
          </w:tcPr>
          <w:p w14:paraId="1ED54D02">
            <w:pPr>
              <w:pStyle w:val="6"/>
              <w:keepNext w:val="0"/>
              <w:keepLines w:val="0"/>
              <w:pageBreakBefore w:val="0"/>
              <w:widowControl/>
              <w:kinsoku w:val="0"/>
              <w:wordWrap/>
              <w:overflowPunct/>
              <w:topLinePunct w:val="0"/>
              <w:autoSpaceDE w:val="0"/>
              <w:autoSpaceDN w:val="0"/>
              <w:bidi w:val="0"/>
              <w:adjustRightInd w:val="0"/>
              <w:snapToGrid w:val="0"/>
              <w:spacing w:before="57" w:line="240" w:lineRule="auto"/>
              <w:ind w:left="60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4"/>
                <w:sz w:val="24"/>
                <w:szCs w:val="24"/>
              </w:rPr>
              <w:t>——利差</w:t>
            </w:r>
          </w:p>
        </w:tc>
        <w:tc>
          <w:tcPr>
            <w:tcW w:w="1560" w:type="dxa"/>
            <w:vAlign w:val="top"/>
          </w:tcPr>
          <w:p w14:paraId="0D8DFB9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498" w:type="dxa"/>
            <w:tcBorders>
              <w:right w:val="nil"/>
            </w:tcBorders>
            <w:vAlign w:val="top"/>
          </w:tcPr>
          <w:p w14:paraId="4C011FD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20C2D192">
        <w:trPr>
          <w:trHeight w:val="335" w:hRule="atLeast"/>
        </w:trPr>
        <w:tc>
          <w:tcPr>
            <w:tcW w:w="5822" w:type="dxa"/>
            <w:tcBorders>
              <w:left w:val="nil"/>
            </w:tcBorders>
            <w:vAlign w:val="top"/>
          </w:tcPr>
          <w:p w14:paraId="74275B4A">
            <w:pPr>
              <w:pStyle w:val="6"/>
              <w:keepNext w:val="0"/>
              <w:keepLines w:val="0"/>
              <w:pageBreakBefore w:val="0"/>
              <w:widowControl/>
              <w:kinsoku w:val="0"/>
              <w:wordWrap/>
              <w:overflowPunct/>
              <w:topLinePunct w:val="0"/>
              <w:autoSpaceDE w:val="0"/>
              <w:autoSpaceDN w:val="0"/>
              <w:bidi w:val="0"/>
              <w:adjustRightInd w:val="0"/>
              <w:snapToGrid w:val="0"/>
              <w:spacing w:before="56" w:line="240" w:lineRule="auto"/>
              <w:ind w:left="60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4"/>
                <w:sz w:val="24"/>
                <w:szCs w:val="24"/>
              </w:rPr>
              <w:t>——死差</w:t>
            </w:r>
          </w:p>
        </w:tc>
        <w:tc>
          <w:tcPr>
            <w:tcW w:w="1560" w:type="dxa"/>
            <w:vAlign w:val="top"/>
          </w:tcPr>
          <w:p w14:paraId="699FA09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498" w:type="dxa"/>
            <w:tcBorders>
              <w:right w:val="nil"/>
            </w:tcBorders>
            <w:vAlign w:val="top"/>
          </w:tcPr>
          <w:p w14:paraId="6DEC8BC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7DCF8021">
        <w:trPr>
          <w:trHeight w:val="331" w:hRule="atLeast"/>
        </w:trPr>
        <w:tc>
          <w:tcPr>
            <w:tcW w:w="5822" w:type="dxa"/>
            <w:tcBorders>
              <w:left w:val="nil"/>
            </w:tcBorders>
            <w:vAlign w:val="top"/>
          </w:tcPr>
          <w:p w14:paraId="3E06C578">
            <w:pPr>
              <w:pStyle w:val="6"/>
              <w:keepNext w:val="0"/>
              <w:keepLines w:val="0"/>
              <w:pageBreakBefore w:val="0"/>
              <w:widowControl/>
              <w:kinsoku w:val="0"/>
              <w:wordWrap/>
              <w:overflowPunct/>
              <w:topLinePunct w:val="0"/>
              <w:autoSpaceDE w:val="0"/>
              <w:autoSpaceDN w:val="0"/>
              <w:bidi w:val="0"/>
              <w:adjustRightInd w:val="0"/>
              <w:snapToGrid w:val="0"/>
              <w:spacing w:before="57" w:line="240" w:lineRule="auto"/>
              <w:ind w:left="60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4"/>
                <w:sz w:val="24"/>
                <w:szCs w:val="24"/>
              </w:rPr>
              <w:t>——费差</w:t>
            </w:r>
          </w:p>
        </w:tc>
        <w:tc>
          <w:tcPr>
            <w:tcW w:w="1560" w:type="dxa"/>
            <w:vAlign w:val="top"/>
          </w:tcPr>
          <w:p w14:paraId="573E566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498" w:type="dxa"/>
            <w:tcBorders>
              <w:right w:val="nil"/>
            </w:tcBorders>
            <w:vAlign w:val="top"/>
          </w:tcPr>
          <w:p w14:paraId="754E685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2378EB92">
        <w:trPr>
          <w:trHeight w:val="336" w:hRule="atLeast"/>
        </w:trPr>
        <w:tc>
          <w:tcPr>
            <w:tcW w:w="5822" w:type="dxa"/>
            <w:tcBorders>
              <w:left w:val="nil"/>
            </w:tcBorders>
            <w:vAlign w:val="top"/>
          </w:tcPr>
          <w:p w14:paraId="2D40F0FD">
            <w:pPr>
              <w:pStyle w:val="6"/>
              <w:keepNext w:val="0"/>
              <w:keepLines w:val="0"/>
              <w:pageBreakBefore w:val="0"/>
              <w:widowControl/>
              <w:kinsoku w:val="0"/>
              <w:wordWrap/>
              <w:overflowPunct/>
              <w:topLinePunct w:val="0"/>
              <w:autoSpaceDE w:val="0"/>
              <w:autoSpaceDN w:val="0"/>
              <w:bidi w:val="0"/>
              <w:adjustRightInd w:val="0"/>
              <w:snapToGrid w:val="0"/>
              <w:spacing w:before="57" w:line="240" w:lineRule="auto"/>
              <w:ind w:left="60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——其他差</w:t>
            </w:r>
          </w:p>
        </w:tc>
        <w:tc>
          <w:tcPr>
            <w:tcW w:w="1560" w:type="dxa"/>
            <w:vAlign w:val="top"/>
          </w:tcPr>
          <w:p w14:paraId="609CF63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498" w:type="dxa"/>
            <w:tcBorders>
              <w:right w:val="nil"/>
            </w:tcBorders>
            <w:vAlign w:val="top"/>
          </w:tcPr>
          <w:p w14:paraId="7AC20BE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1A33C989">
        <w:trPr>
          <w:trHeight w:val="335" w:hRule="atLeast"/>
        </w:trPr>
        <w:tc>
          <w:tcPr>
            <w:tcW w:w="5822" w:type="dxa"/>
            <w:tcBorders>
              <w:left w:val="nil"/>
            </w:tcBorders>
            <w:vAlign w:val="top"/>
          </w:tcPr>
          <w:p w14:paraId="6A2C05AF">
            <w:pPr>
              <w:pStyle w:val="6"/>
              <w:keepNext w:val="0"/>
              <w:keepLines w:val="0"/>
              <w:pageBreakBefore w:val="0"/>
              <w:widowControl/>
              <w:kinsoku w:val="0"/>
              <w:wordWrap/>
              <w:overflowPunct/>
              <w:topLinePunct w:val="0"/>
              <w:autoSpaceDE w:val="0"/>
              <w:autoSpaceDN w:val="0"/>
              <w:bidi w:val="0"/>
              <w:adjustRightInd w:val="0"/>
              <w:snapToGrid w:val="0"/>
              <w:spacing w:before="58" w:line="240" w:lineRule="auto"/>
              <w:ind w:left="5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4"/>
                <w:sz w:val="24"/>
                <w:szCs w:val="24"/>
              </w:rPr>
              <w:t>二、转回分红保险特别储备</w:t>
            </w:r>
          </w:p>
        </w:tc>
        <w:tc>
          <w:tcPr>
            <w:tcW w:w="1560" w:type="dxa"/>
            <w:vAlign w:val="top"/>
          </w:tcPr>
          <w:p w14:paraId="06D8388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498" w:type="dxa"/>
            <w:tcBorders>
              <w:right w:val="nil"/>
            </w:tcBorders>
            <w:vAlign w:val="top"/>
          </w:tcPr>
          <w:p w14:paraId="7016C78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39D80649">
        <w:trPr>
          <w:trHeight w:val="335" w:hRule="atLeast"/>
        </w:trPr>
        <w:tc>
          <w:tcPr>
            <w:tcW w:w="5822" w:type="dxa"/>
            <w:tcBorders>
              <w:left w:val="nil"/>
            </w:tcBorders>
            <w:vAlign w:val="top"/>
          </w:tcPr>
          <w:p w14:paraId="73D54D3C">
            <w:pPr>
              <w:pStyle w:val="6"/>
              <w:keepNext w:val="0"/>
              <w:keepLines w:val="0"/>
              <w:pageBreakBefore w:val="0"/>
              <w:widowControl/>
              <w:kinsoku w:val="0"/>
              <w:wordWrap/>
              <w:overflowPunct/>
              <w:topLinePunct w:val="0"/>
              <w:autoSpaceDE w:val="0"/>
              <w:autoSpaceDN w:val="0"/>
              <w:bidi w:val="0"/>
              <w:adjustRightInd w:val="0"/>
              <w:snapToGrid w:val="0"/>
              <w:spacing w:before="58" w:line="240" w:lineRule="auto"/>
              <w:ind w:left="58"/>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4"/>
                <w:sz w:val="24"/>
                <w:szCs w:val="24"/>
              </w:rPr>
              <w:t>三、上一年度红利派发差异调整</w:t>
            </w:r>
          </w:p>
        </w:tc>
        <w:tc>
          <w:tcPr>
            <w:tcW w:w="1560" w:type="dxa"/>
            <w:vAlign w:val="top"/>
          </w:tcPr>
          <w:p w14:paraId="7D793E5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498" w:type="dxa"/>
            <w:tcBorders>
              <w:right w:val="nil"/>
            </w:tcBorders>
            <w:vAlign w:val="top"/>
          </w:tcPr>
          <w:p w14:paraId="2C240B9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0D4E63C8">
        <w:trPr>
          <w:trHeight w:val="336" w:hRule="atLeast"/>
        </w:trPr>
        <w:tc>
          <w:tcPr>
            <w:tcW w:w="5822" w:type="dxa"/>
            <w:tcBorders>
              <w:left w:val="nil"/>
            </w:tcBorders>
            <w:vAlign w:val="top"/>
          </w:tcPr>
          <w:p w14:paraId="7FB54E64">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60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——保户保单红利调整</w:t>
            </w:r>
          </w:p>
        </w:tc>
        <w:tc>
          <w:tcPr>
            <w:tcW w:w="1560" w:type="dxa"/>
            <w:vAlign w:val="top"/>
          </w:tcPr>
          <w:p w14:paraId="29F00CA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498" w:type="dxa"/>
            <w:tcBorders>
              <w:right w:val="nil"/>
            </w:tcBorders>
            <w:vAlign w:val="top"/>
          </w:tcPr>
          <w:p w14:paraId="2117E9D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302C902C">
        <w:trPr>
          <w:trHeight w:val="335" w:hRule="atLeast"/>
        </w:trPr>
        <w:tc>
          <w:tcPr>
            <w:tcW w:w="5822" w:type="dxa"/>
            <w:tcBorders>
              <w:left w:val="nil"/>
            </w:tcBorders>
            <w:vAlign w:val="top"/>
          </w:tcPr>
          <w:p w14:paraId="0F7FC35B">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60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——股东保单红利调整</w:t>
            </w:r>
          </w:p>
        </w:tc>
        <w:tc>
          <w:tcPr>
            <w:tcW w:w="1560" w:type="dxa"/>
            <w:vAlign w:val="top"/>
          </w:tcPr>
          <w:p w14:paraId="381E4A4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498" w:type="dxa"/>
            <w:tcBorders>
              <w:right w:val="nil"/>
            </w:tcBorders>
            <w:vAlign w:val="top"/>
          </w:tcPr>
          <w:p w14:paraId="6A5D859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4D3880B9">
        <w:trPr>
          <w:trHeight w:val="331" w:hRule="atLeast"/>
        </w:trPr>
        <w:tc>
          <w:tcPr>
            <w:tcW w:w="5822" w:type="dxa"/>
            <w:tcBorders>
              <w:left w:val="nil"/>
            </w:tcBorders>
            <w:vAlign w:val="top"/>
          </w:tcPr>
          <w:p w14:paraId="2A3B9199">
            <w:pPr>
              <w:pStyle w:val="6"/>
              <w:keepNext w:val="0"/>
              <w:keepLines w:val="0"/>
              <w:pageBreakBefore w:val="0"/>
              <w:widowControl/>
              <w:kinsoku w:val="0"/>
              <w:wordWrap/>
              <w:overflowPunct/>
              <w:topLinePunct w:val="0"/>
              <w:autoSpaceDE w:val="0"/>
              <w:autoSpaceDN w:val="0"/>
              <w:bidi w:val="0"/>
              <w:adjustRightInd w:val="0"/>
              <w:snapToGrid w:val="0"/>
              <w:spacing w:before="50" w:line="240" w:lineRule="auto"/>
              <w:ind w:left="68"/>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5"/>
                <w:sz w:val="24"/>
                <w:szCs w:val="24"/>
              </w:rPr>
              <w:t>四、本期分红前共有盈余</w:t>
            </w:r>
          </w:p>
        </w:tc>
        <w:tc>
          <w:tcPr>
            <w:tcW w:w="1560" w:type="dxa"/>
            <w:vAlign w:val="top"/>
          </w:tcPr>
          <w:p w14:paraId="0DAC4AA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498" w:type="dxa"/>
            <w:tcBorders>
              <w:right w:val="nil"/>
            </w:tcBorders>
            <w:vAlign w:val="top"/>
          </w:tcPr>
          <w:p w14:paraId="7B7AE54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585EDCCC">
        <w:trPr>
          <w:trHeight w:val="335" w:hRule="atLeast"/>
        </w:trPr>
        <w:tc>
          <w:tcPr>
            <w:tcW w:w="5822" w:type="dxa"/>
            <w:tcBorders>
              <w:left w:val="nil"/>
            </w:tcBorders>
            <w:vAlign w:val="top"/>
          </w:tcPr>
          <w:p w14:paraId="1190EFD0">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5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4"/>
                <w:sz w:val="24"/>
                <w:szCs w:val="24"/>
              </w:rPr>
              <w:t>五、本期可分配盈余</w:t>
            </w:r>
          </w:p>
        </w:tc>
        <w:tc>
          <w:tcPr>
            <w:tcW w:w="1560" w:type="dxa"/>
            <w:vAlign w:val="top"/>
          </w:tcPr>
          <w:p w14:paraId="5A109CD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498" w:type="dxa"/>
            <w:tcBorders>
              <w:right w:val="nil"/>
            </w:tcBorders>
            <w:vAlign w:val="top"/>
          </w:tcPr>
          <w:p w14:paraId="799EC3A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0692F89D">
        <w:trPr>
          <w:trHeight w:val="336" w:hRule="atLeast"/>
        </w:trPr>
        <w:tc>
          <w:tcPr>
            <w:tcW w:w="5822" w:type="dxa"/>
            <w:tcBorders>
              <w:left w:val="nil"/>
            </w:tcBorders>
            <w:vAlign w:val="top"/>
          </w:tcPr>
          <w:p w14:paraId="714F2532">
            <w:pPr>
              <w:pStyle w:val="6"/>
              <w:keepNext w:val="0"/>
              <w:keepLines w:val="0"/>
              <w:pageBreakBefore w:val="0"/>
              <w:widowControl/>
              <w:kinsoku w:val="0"/>
              <w:wordWrap/>
              <w:overflowPunct/>
              <w:topLinePunct w:val="0"/>
              <w:autoSpaceDE w:val="0"/>
              <w:autoSpaceDN w:val="0"/>
              <w:bidi w:val="0"/>
              <w:adjustRightInd w:val="0"/>
              <w:snapToGrid w:val="0"/>
              <w:spacing w:before="50" w:line="240" w:lineRule="auto"/>
              <w:ind w:left="49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——本期保户保单红利</w:t>
            </w:r>
          </w:p>
        </w:tc>
        <w:tc>
          <w:tcPr>
            <w:tcW w:w="1560" w:type="dxa"/>
            <w:vAlign w:val="top"/>
          </w:tcPr>
          <w:p w14:paraId="0C5D8C9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498" w:type="dxa"/>
            <w:tcBorders>
              <w:right w:val="nil"/>
            </w:tcBorders>
            <w:vAlign w:val="top"/>
          </w:tcPr>
          <w:p w14:paraId="70EE644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5EAEF26F">
        <w:trPr>
          <w:trHeight w:val="335" w:hRule="atLeast"/>
        </w:trPr>
        <w:tc>
          <w:tcPr>
            <w:tcW w:w="5822" w:type="dxa"/>
            <w:tcBorders>
              <w:left w:val="nil"/>
            </w:tcBorders>
            <w:vAlign w:val="top"/>
          </w:tcPr>
          <w:p w14:paraId="39E2C760">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49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——本期股东保单红利</w:t>
            </w:r>
          </w:p>
        </w:tc>
        <w:tc>
          <w:tcPr>
            <w:tcW w:w="1560" w:type="dxa"/>
            <w:vAlign w:val="top"/>
          </w:tcPr>
          <w:p w14:paraId="7A2FBAE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498" w:type="dxa"/>
            <w:tcBorders>
              <w:right w:val="nil"/>
            </w:tcBorders>
            <w:vAlign w:val="top"/>
          </w:tcPr>
          <w:p w14:paraId="6A79995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0643B38D">
        <w:trPr>
          <w:trHeight w:val="335" w:hRule="atLeast"/>
        </w:trPr>
        <w:tc>
          <w:tcPr>
            <w:tcW w:w="5822" w:type="dxa"/>
            <w:tcBorders>
              <w:left w:val="nil"/>
            </w:tcBorders>
            <w:vAlign w:val="top"/>
          </w:tcPr>
          <w:p w14:paraId="43CDC1E4">
            <w:pPr>
              <w:pStyle w:val="6"/>
              <w:keepNext w:val="0"/>
              <w:keepLines w:val="0"/>
              <w:pageBreakBefore w:val="0"/>
              <w:widowControl/>
              <w:kinsoku w:val="0"/>
              <w:wordWrap/>
              <w:overflowPunct/>
              <w:topLinePunct w:val="0"/>
              <w:autoSpaceDE w:val="0"/>
              <w:autoSpaceDN w:val="0"/>
              <w:bidi w:val="0"/>
              <w:adjustRightInd w:val="0"/>
              <w:snapToGrid w:val="0"/>
              <w:spacing w:before="61" w:line="240" w:lineRule="auto"/>
              <w:ind w:left="51"/>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3"/>
                <w:sz w:val="24"/>
                <w:szCs w:val="24"/>
              </w:rPr>
              <w:t>六、本期分红后的分红保险特别储备</w:t>
            </w:r>
          </w:p>
        </w:tc>
        <w:tc>
          <w:tcPr>
            <w:tcW w:w="1560" w:type="dxa"/>
            <w:vAlign w:val="top"/>
          </w:tcPr>
          <w:p w14:paraId="2112DA1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498" w:type="dxa"/>
            <w:tcBorders>
              <w:right w:val="nil"/>
            </w:tcBorders>
            <w:vAlign w:val="top"/>
          </w:tcPr>
          <w:p w14:paraId="5DA2B25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4D5E1DD0">
        <w:trPr>
          <w:trHeight w:val="336" w:hRule="atLeast"/>
        </w:trPr>
        <w:tc>
          <w:tcPr>
            <w:tcW w:w="5822" w:type="dxa"/>
            <w:tcBorders>
              <w:left w:val="nil"/>
            </w:tcBorders>
            <w:vAlign w:val="top"/>
          </w:tcPr>
          <w:p w14:paraId="657C8875">
            <w:pPr>
              <w:pStyle w:val="6"/>
              <w:keepNext w:val="0"/>
              <w:keepLines w:val="0"/>
              <w:pageBreakBefore w:val="0"/>
              <w:widowControl/>
              <w:kinsoku w:val="0"/>
              <w:wordWrap/>
              <w:overflowPunct/>
              <w:topLinePunct w:val="0"/>
              <w:autoSpaceDE w:val="0"/>
              <w:autoSpaceDN w:val="0"/>
              <w:bidi w:val="0"/>
              <w:adjustRightInd w:val="0"/>
              <w:snapToGrid w:val="0"/>
              <w:spacing w:before="62" w:line="240" w:lineRule="auto"/>
              <w:ind w:left="47"/>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3"/>
                <w:sz w:val="24"/>
                <w:szCs w:val="24"/>
              </w:rPr>
              <w:t>七、分红保险准备金余额</w:t>
            </w:r>
          </w:p>
        </w:tc>
        <w:tc>
          <w:tcPr>
            <w:tcW w:w="1560" w:type="dxa"/>
            <w:vAlign w:val="top"/>
          </w:tcPr>
          <w:p w14:paraId="5A3D72C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498" w:type="dxa"/>
            <w:tcBorders>
              <w:right w:val="nil"/>
            </w:tcBorders>
            <w:vAlign w:val="top"/>
          </w:tcPr>
          <w:p w14:paraId="0037BD9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3C9B3B3B">
        <w:trPr>
          <w:trHeight w:val="336" w:hRule="atLeast"/>
        </w:trPr>
        <w:tc>
          <w:tcPr>
            <w:tcW w:w="5822" w:type="dxa"/>
            <w:tcBorders>
              <w:left w:val="nil"/>
            </w:tcBorders>
            <w:vAlign w:val="top"/>
          </w:tcPr>
          <w:p w14:paraId="766571BC">
            <w:pPr>
              <w:pStyle w:val="6"/>
              <w:keepNext w:val="0"/>
              <w:keepLines w:val="0"/>
              <w:pageBreakBefore w:val="0"/>
              <w:widowControl/>
              <w:kinsoku w:val="0"/>
              <w:wordWrap/>
              <w:overflowPunct/>
              <w:topLinePunct w:val="0"/>
              <w:autoSpaceDE w:val="0"/>
              <w:autoSpaceDN w:val="0"/>
              <w:bidi w:val="0"/>
              <w:adjustRightInd w:val="0"/>
              <w:snapToGrid w:val="0"/>
              <w:spacing w:before="62" w:line="240" w:lineRule="auto"/>
              <w:ind w:left="46"/>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2"/>
                <w:sz w:val="24"/>
                <w:szCs w:val="24"/>
              </w:rPr>
              <w:t>八、分红保险特别储备余额与分红保险准备金余额的</w:t>
            </w:r>
            <w:r>
              <w:rPr>
                <w:rFonts w:hint="eastAsia" w:ascii="仿宋_GB2312" w:hAnsi="仿宋_GB2312" w:eastAsia="仿宋_GB2312" w:cs="仿宋_GB2312"/>
                <w:b/>
                <w:bCs/>
                <w:spacing w:val="-3"/>
                <w:sz w:val="24"/>
                <w:szCs w:val="24"/>
              </w:rPr>
              <w:t>比值</w:t>
            </w:r>
          </w:p>
        </w:tc>
        <w:tc>
          <w:tcPr>
            <w:tcW w:w="1560" w:type="dxa"/>
            <w:vAlign w:val="top"/>
          </w:tcPr>
          <w:p w14:paraId="0006819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498" w:type="dxa"/>
            <w:tcBorders>
              <w:right w:val="nil"/>
            </w:tcBorders>
            <w:vAlign w:val="top"/>
          </w:tcPr>
          <w:p w14:paraId="34F175F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bl>
    <w:p w14:paraId="0E72675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p w14:paraId="2721E313">
      <w:pPr>
        <w:rPr>
          <w:rFonts w:hint="eastAsia" w:ascii="仿宋_GB2312" w:hAnsi="仿宋_GB2312" w:eastAsia="仿宋_GB2312" w:cs="仿宋_GB2312"/>
          <w:sz w:val="32"/>
          <w:szCs w:val="32"/>
        </w:rPr>
        <w:sectPr>
          <w:footerReference r:id="rId6" w:type="default"/>
          <w:pgSz w:w="11904" w:h="16834"/>
          <w:pgMar w:top="1430" w:right="1258" w:bottom="1529" w:left="1429" w:header="0" w:footer="1195" w:gutter="0"/>
          <w:cols w:space="720" w:num="1"/>
        </w:sectPr>
      </w:pPr>
    </w:p>
    <w:p w14:paraId="6A41EFEE">
      <w:pPr>
        <w:spacing w:line="275" w:lineRule="auto"/>
        <w:rPr>
          <w:rFonts w:hint="eastAsia" w:ascii="仿宋_GB2312" w:hAnsi="仿宋_GB2312" w:eastAsia="仿宋_GB2312" w:cs="仿宋_GB2312"/>
          <w:sz w:val="32"/>
          <w:szCs w:val="32"/>
        </w:rPr>
      </w:pPr>
    </w:p>
    <w:p w14:paraId="3877BCE9">
      <w:pPr>
        <w:spacing w:line="276" w:lineRule="auto"/>
        <w:rPr>
          <w:rFonts w:hint="eastAsia" w:ascii="仿宋_GB2312" w:hAnsi="仿宋_GB2312" w:eastAsia="仿宋_GB2312" w:cs="仿宋_GB2312"/>
          <w:sz w:val="32"/>
          <w:szCs w:val="32"/>
        </w:rPr>
      </w:pPr>
    </w:p>
    <w:p w14:paraId="6BDC40A5">
      <w:pPr>
        <w:pStyle w:val="2"/>
        <w:spacing w:before="200" w:line="192" w:lineRule="auto"/>
        <w:jc w:val="center"/>
        <w:outlineLvl w:val="0"/>
        <w:rPr>
          <w:rFonts w:hint="eastAsia" w:ascii="仿宋_GB2312" w:hAnsi="仿宋_GB2312" w:eastAsia="仿宋_GB2312" w:cs="仿宋_GB2312"/>
          <w:sz w:val="32"/>
          <w:szCs w:val="32"/>
        </w:rPr>
      </w:pPr>
      <w:r>
        <w:rPr>
          <w:rFonts w:hint="eastAsia" w:ascii="仿宋_GB2312" w:hAnsi="仿宋_GB2312" w:eastAsia="仿宋_GB2312" w:cs="仿宋_GB2312"/>
          <w:spacing w:val="-17"/>
          <w:sz w:val="32"/>
          <w:szCs w:val="32"/>
        </w:rPr>
        <w:t>XXXX 账户分红保险盈余计算与分配表（</w:t>
      </w:r>
      <w:r>
        <w:rPr>
          <w:rFonts w:hint="eastAsia" w:ascii="仿宋_GB2312" w:hAnsi="仿宋_GB2312" w:eastAsia="仿宋_GB2312" w:cs="仿宋_GB2312"/>
          <w:spacing w:val="-18"/>
          <w:sz w:val="32"/>
          <w:szCs w:val="32"/>
        </w:rPr>
        <w:t>格式四）</w:t>
      </w:r>
    </w:p>
    <w:p w14:paraId="5442630F">
      <w:pPr>
        <w:spacing w:before="153"/>
        <w:rPr>
          <w:rFonts w:hint="eastAsia" w:ascii="仿宋_GB2312" w:hAnsi="仿宋_GB2312" w:eastAsia="仿宋_GB2312" w:cs="仿宋_GB2312"/>
          <w:sz w:val="32"/>
          <w:szCs w:val="32"/>
        </w:rPr>
      </w:pPr>
    </w:p>
    <w:tbl>
      <w:tblPr>
        <w:tblStyle w:val="5"/>
        <w:tblW w:w="8601" w:type="dxa"/>
        <w:tblInd w:w="21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83"/>
        <w:gridCol w:w="1560"/>
        <w:gridCol w:w="1358"/>
      </w:tblGrid>
      <w:tr w14:paraId="24F078B8">
        <w:trPr>
          <w:trHeight w:val="340" w:hRule="atLeast"/>
        </w:trPr>
        <w:tc>
          <w:tcPr>
            <w:tcW w:w="5683" w:type="dxa"/>
            <w:tcBorders>
              <w:left w:val="nil"/>
            </w:tcBorders>
            <w:vAlign w:val="top"/>
          </w:tcPr>
          <w:p w14:paraId="7D57BE6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560" w:type="dxa"/>
            <w:vAlign w:val="top"/>
          </w:tcPr>
          <w:p w14:paraId="149368B8">
            <w:pPr>
              <w:pStyle w:val="6"/>
              <w:keepNext w:val="0"/>
              <w:keepLines w:val="0"/>
              <w:pageBreakBefore w:val="0"/>
              <w:widowControl/>
              <w:kinsoku w:val="0"/>
              <w:wordWrap/>
              <w:overflowPunct/>
              <w:topLinePunct w:val="0"/>
              <w:autoSpaceDE w:val="0"/>
              <w:autoSpaceDN w:val="0"/>
              <w:bidi w:val="0"/>
              <w:adjustRightInd w:val="0"/>
              <w:snapToGrid w:val="0"/>
              <w:spacing w:before="61" w:line="240" w:lineRule="auto"/>
              <w:ind w:left="57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6"/>
                <w:sz w:val="24"/>
                <w:szCs w:val="24"/>
              </w:rPr>
              <w:t>****年度</w:t>
            </w:r>
          </w:p>
        </w:tc>
        <w:tc>
          <w:tcPr>
            <w:tcW w:w="1358" w:type="dxa"/>
            <w:tcBorders>
              <w:right w:val="nil"/>
            </w:tcBorders>
            <w:vAlign w:val="top"/>
          </w:tcPr>
          <w:p w14:paraId="13E4C8F3">
            <w:pPr>
              <w:pStyle w:val="6"/>
              <w:keepNext w:val="0"/>
              <w:keepLines w:val="0"/>
              <w:pageBreakBefore w:val="0"/>
              <w:widowControl/>
              <w:kinsoku w:val="0"/>
              <w:wordWrap/>
              <w:overflowPunct/>
              <w:topLinePunct w:val="0"/>
              <w:autoSpaceDE w:val="0"/>
              <w:autoSpaceDN w:val="0"/>
              <w:bidi w:val="0"/>
              <w:adjustRightInd w:val="0"/>
              <w:snapToGrid w:val="0"/>
              <w:spacing w:before="61" w:line="240" w:lineRule="auto"/>
              <w:ind w:left="383"/>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6"/>
                <w:sz w:val="24"/>
                <w:szCs w:val="24"/>
              </w:rPr>
              <w:t>****年度</w:t>
            </w:r>
          </w:p>
        </w:tc>
      </w:tr>
      <w:tr w14:paraId="31625A2F">
        <w:trPr>
          <w:trHeight w:val="335" w:hRule="atLeast"/>
        </w:trPr>
        <w:tc>
          <w:tcPr>
            <w:tcW w:w="5683" w:type="dxa"/>
            <w:tcBorders>
              <w:left w:val="nil"/>
            </w:tcBorders>
            <w:vAlign w:val="top"/>
          </w:tcPr>
          <w:p w14:paraId="52ECA6D5">
            <w:pPr>
              <w:pStyle w:val="6"/>
              <w:keepNext w:val="0"/>
              <w:keepLines w:val="0"/>
              <w:pageBreakBefore w:val="0"/>
              <w:widowControl/>
              <w:kinsoku w:val="0"/>
              <w:wordWrap/>
              <w:overflowPunct/>
              <w:topLinePunct w:val="0"/>
              <w:autoSpaceDE w:val="0"/>
              <w:autoSpaceDN w:val="0"/>
              <w:bidi w:val="0"/>
              <w:adjustRightInd w:val="0"/>
              <w:snapToGrid w:val="0"/>
              <w:spacing w:before="56" w:line="240" w:lineRule="auto"/>
              <w:ind w:left="56"/>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4"/>
                <w:sz w:val="24"/>
                <w:szCs w:val="24"/>
              </w:rPr>
              <w:t>一、本期分红账户共有综合盈余</w:t>
            </w:r>
          </w:p>
        </w:tc>
        <w:tc>
          <w:tcPr>
            <w:tcW w:w="1560" w:type="dxa"/>
            <w:vAlign w:val="top"/>
          </w:tcPr>
          <w:p w14:paraId="2777895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58" w:type="dxa"/>
            <w:tcBorders>
              <w:right w:val="nil"/>
            </w:tcBorders>
            <w:vAlign w:val="top"/>
          </w:tcPr>
          <w:p w14:paraId="1259056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650CF499">
        <w:trPr>
          <w:trHeight w:val="336" w:hRule="atLeast"/>
        </w:trPr>
        <w:tc>
          <w:tcPr>
            <w:tcW w:w="5683" w:type="dxa"/>
            <w:tcBorders>
              <w:left w:val="nil"/>
            </w:tcBorders>
            <w:vAlign w:val="top"/>
          </w:tcPr>
          <w:p w14:paraId="753B24C8">
            <w:pPr>
              <w:pStyle w:val="6"/>
              <w:keepNext w:val="0"/>
              <w:keepLines w:val="0"/>
              <w:pageBreakBefore w:val="0"/>
              <w:widowControl/>
              <w:kinsoku w:val="0"/>
              <w:wordWrap/>
              <w:overflowPunct/>
              <w:topLinePunct w:val="0"/>
              <w:autoSpaceDE w:val="0"/>
              <w:autoSpaceDN w:val="0"/>
              <w:bidi w:val="0"/>
              <w:adjustRightInd w:val="0"/>
              <w:snapToGrid w:val="0"/>
              <w:spacing w:before="57" w:line="240" w:lineRule="auto"/>
              <w:ind w:left="60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4"/>
                <w:sz w:val="24"/>
                <w:szCs w:val="24"/>
              </w:rPr>
              <w:t>——利差</w:t>
            </w:r>
          </w:p>
        </w:tc>
        <w:tc>
          <w:tcPr>
            <w:tcW w:w="1560" w:type="dxa"/>
            <w:vAlign w:val="top"/>
          </w:tcPr>
          <w:p w14:paraId="0FE0025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58" w:type="dxa"/>
            <w:tcBorders>
              <w:right w:val="nil"/>
            </w:tcBorders>
            <w:vAlign w:val="top"/>
          </w:tcPr>
          <w:p w14:paraId="63B48E1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5BBB935D">
        <w:trPr>
          <w:trHeight w:val="335" w:hRule="atLeast"/>
        </w:trPr>
        <w:tc>
          <w:tcPr>
            <w:tcW w:w="5683" w:type="dxa"/>
            <w:tcBorders>
              <w:left w:val="nil"/>
            </w:tcBorders>
            <w:vAlign w:val="top"/>
          </w:tcPr>
          <w:p w14:paraId="58B52175">
            <w:pPr>
              <w:pStyle w:val="6"/>
              <w:keepNext w:val="0"/>
              <w:keepLines w:val="0"/>
              <w:pageBreakBefore w:val="0"/>
              <w:widowControl/>
              <w:kinsoku w:val="0"/>
              <w:wordWrap/>
              <w:overflowPunct/>
              <w:topLinePunct w:val="0"/>
              <w:autoSpaceDE w:val="0"/>
              <w:autoSpaceDN w:val="0"/>
              <w:bidi w:val="0"/>
              <w:adjustRightInd w:val="0"/>
              <w:snapToGrid w:val="0"/>
              <w:spacing w:before="56" w:line="240" w:lineRule="auto"/>
              <w:ind w:left="60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4"/>
                <w:sz w:val="24"/>
                <w:szCs w:val="24"/>
              </w:rPr>
              <w:t>——死差</w:t>
            </w:r>
          </w:p>
        </w:tc>
        <w:tc>
          <w:tcPr>
            <w:tcW w:w="1560" w:type="dxa"/>
            <w:vAlign w:val="top"/>
          </w:tcPr>
          <w:p w14:paraId="51ABE42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58" w:type="dxa"/>
            <w:tcBorders>
              <w:right w:val="nil"/>
            </w:tcBorders>
            <w:vAlign w:val="top"/>
          </w:tcPr>
          <w:p w14:paraId="4BC3FDB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3805AA34">
        <w:trPr>
          <w:trHeight w:val="331" w:hRule="atLeast"/>
        </w:trPr>
        <w:tc>
          <w:tcPr>
            <w:tcW w:w="5683" w:type="dxa"/>
            <w:tcBorders>
              <w:left w:val="nil"/>
            </w:tcBorders>
            <w:vAlign w:val="top"/>
          </w:tcPr>
          <w:p w14:paraId="674DAA53">
            <w:pPr>
              <w:pStyle w:val="6"/>
              <w:keepNext w:val="0"/>
              <w:keepLines w:val="0"/>
              <w:pageBreakBefore w:val="0"/>
              <w:widowControl/>
              <w:kinsoku w:val="0"/>
              <w:wordWrap/>
              <w:overflowPunct/>
              <w:topLinePunct w:val="0"/>
              <w:autoSpaceDE w:val="0"/>
              <w:autoSpaceDN w:val="0"/>
              <w:bidi w:val="0"/>
              <w:adjustRightInd w:val="0"/>
              <w:snapToGrid w:val="0"/>
              <w:spacing w:before="57" w:line="240" w:lineRule="auto"/>
              <w:ind w:left="60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4"/>
                <w:sz w:val="24"/>
                <w:szCs w:val="24"/>
              </w:rPr>
              <w:t>——费差</w:t>
            </w:r>
          </w:p>
        </w:tc>
        <w:tc>
          <w:tcPr>
            <w:tcW w:w="1560" w:type="dxa"/>
            <w:vAlign w:val="top"/>
          </w:tcPr>
          <w:p w14:paraId="2F08A09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58" w:type="dxa"/>
            <w:tcBorders>
              <w:right w:val="nil"/>
            </w:tcBorders>
            <w:vAlign w:val="top"/>
          </w:tcPr>
          <w:p w14:paraId="103AEF3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3777556A">
        <w:trPr>
          <w:trHeight w:val="336" w:hRule="atLeast"/>
        </w:trPr>
        <w:tc>
          <w:tcPr>
            <w:tcW w:w="5683" w:type="dxa"/>
            <w:tcBorders>
              <w:left w:val="nil"/>
            </w:tcBorders>
            <w:vAlign w:val="top"/>
          </w:tcPr>
          <w:p w14:paraId="3BDEE7FC">
            <w:pPr>
              <w:pStyle w:val="6"/>
              <w:keepNext w:val="0"/>
              <w:keepLines w:val="0"/>
              <w:pageBreakBefore w:val="0"/>
              <w:widowControl/>
              <w:kinsoku w:val="0"/>
              <w:wordWrap/>
              <w:overflowPunct/>
              <w:topLinePunct w:val="0"/>
              <w:autoSpaceDE w:val="0"/>
              <w:autoSpaceDN w:val="0"/>
              <w:bidi w:val="0"/>
              <w:adjustRightInd w:val="0"/>
              <w:snapToGrid w:val="0"/>
              <w:spacing w:before="57" w:line="240" w:lineRule="auto"/>
              <w:ind w:left="60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——其他差</w:t>
            </w:r>
          </w:p>
        </w:tc>
        <w:tc>
          <w:tcPr>
            <w:tcW w:w="1560" w:type="dxa"/>
            <w:vAlign w:val="top"/>
          </w:tcPr>
          <w:p w14:paraId="5A6DDD5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58" w:type="dxa"/>
            <w:tcBorders>
              <w:right w:val="nil"/>
            </w:tcBorders>
            <w:vAlign w:val="top"/>
          </w:tcPr>
          <w:p w14:paraId="1EE0B66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2EF78DEC">
        <w:trPr>
          <w:trHeight w:val="335" w:hRule="atLeast"/>
        </w:trPr>
        <w:tc>
          <w:tcPr>
            <w:tcW w:w="5683" w:type="dxa"/>
            <w:tcBorders>
              <w:left w:val="nil"/>
            </w:tcBorders>
            <w:vAlign w:val="top"/>
          </w:tcPr>
          <w:p w14:paraId="64D821F3">
            <w:pPr>
              <w:pStyle w:val="6"/>
              <w:keepNext w:val="0"/>
              <w:keepLines w:val="0"/>
              <w:pageBreakBefore w:val="0"/>
              <w:widowControl/>
              <w:kinsoku w:val="0"/>
              <w:wordWrap/>
              <w:overflowPunct/>
              <w:topLinePunct w:val="0"/>
              <w:autoSpaceDE w:val="0"/>
              <w:autoSpaceDN w:val="0"/>
              <w:bidi w:val="0"/>
              <w:adjustRightInd w:val="0"/>
              <w:snapToGrid w:val="0"/>
              <w:spacing w:before="58" w:line="240" w:lineRule="auto"/>
              <w:ind w:left="5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4"/>
                <w:sz w:val="24"/>
                <w:szCs w:val="24"/>
              </w:rPr>
              <w:t>二、转回分红保险特别储备</w:t>
            </w:r>
          </w:p>
        </w:tc>
        <w:tc>
          <w:tcPr>
            <w:tcW w:w="1560" w:type="dxa"/>
            <w:vAlign w:val="top"/>
          </w:tcPr>
          <w:p w14:paraId="4F57C24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58" w:type="dxa"/>
            <w:tcBorders>
              <w:right w:val="nil"/>
            </w:tcBorders>
            <w:vAlign w:val="top"/>
          </w:tcPr>
          <w:p w14:paraId="09732C0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4C5184FB">
        <w:trPr>
          <w:trHeight w:val="335" w:hRule="atLeast"/>
        </w:trPr>
        <w:tc>
          <w:tcPr>
            <w:tcW w:w="5683" w:type="dxa"/>
            <w:tcBorders>
              <w:left w:val="nil"/>
            </w:tcBorders>
            <w:vAlign w:val="top"/>
          </w:tcPr>
          <w:p w14:paraId="44109BA9">
            <w:pPr>
              <w:pStyle w:val="6"/>
              <w:keepNext w:val="0"/>
              <w:keepLines w:val="0"/>
              <w:pageBreakBefore w:val="0"/>
              <w:widowControl/>
              <w:kinsoku w:val="0"/>
              <w:wordWrap/>
              <w:overflowPunct/>
              <w:topLinePunct w:val="0"/>
              <w:autoSpaceDE w:val="0"/>
              <w:autoSpaceDN w:val="0"/>
              <w:bidi w:val="0"/>
              <w:adjustRightInd w:val="0"/>
              <w:snapToGrid w:val="0"/>
              <w:spacing w:before="58" w:line="240" w:lineRule="auto"/>
              <w:ind w:left="58"/>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4"/>
                <w:sz w:val="24"/>
                <w:szCs w:val="24"/>
              </w:rPr>
              <w:t>三、上一年度红利派发差异调整</w:t>
            </w:r>
          </w:p>
        </w:tc>
        <w:tc>
          <w:tcPr>
            <w:tcW w:w="1560" w:type="dxa"/>
            <w:vAlign w:val="top"/>
          </w:tcPr>
          <w:p w14:paraId="020B194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58" w:type="dxa"/>
            <w:tcBorders>
              <w:right w:val="nil"/>
            </w:tcBorders>
            <w:vAlign w:val="top"/>
          </w:tcPr>
          <w:p w14:paraId="737FC20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4DD1EA94">
        <w:trPr>
          <w:trHeight w:val="336" w:hRule="atLeast"/>
        </w:trPr>
        <w:tc>
          <w:tcPr>
            <w:tcW w:w="5683" w:type="dxa"/>
            <w:tcBorders>
              <w:left w:val="nil"/>
            </w:tcBorders>
            <w:vAlign w:val="top"/>
          </w:tcPr>
          <w:p w14:paraId="3CCF5A4E">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60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——保户保单红利调整</w:t>
            </w:r>
          </w:p>
        </w:tc>
        <w:tc>
          <w:tcPr>
            <w:tcW w:w="1560" w:type="dxa"/>
            <w:vAlign w:val="top"/>
          </w:tcPr>
          <w:p w14:paraId="151831F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58" w:type="dxa"/>
            <w:tcBorders>
              <w:right w:val="nil"/>
            </w:tcBorders>
            <w:vAlign w:val="top"/>
          </w:tcPr>
          <w:p w14:paraId="53A2BD6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06369AC3">
        <w:trPr>
          <w:trHeight w:val="335" w:hRule="atLeast"/>
        </w:trPr>
        <w:tc>
          <w:tcPr>
            <w:tcW w:w="5683" w:type="dxa"/>
            <w:tcBorders>
              <w:left w:val="nil"/>
            </w:tcBorders>
            <w:vAlign w:val="top"/>
          </w:tcPr>
          <w:p w14:paraId="0FDB7ACB">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60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——股东保单红利调整</w:t>
            </w:r>
          </w:p>
        </w:tc>
        <w:tc>
          <w:tcPr>
            <w:tcW w:w="1560" w:type="dxa"/>
            <w:vAlign w:val="top"/>
          </w:tcPr>
          <w:p w14:paraId="2E7F1EC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58" w:type="dxa"/>
            <w:tcBorders>
              <w:right w:val="nil"/>
            </w:tcBorders>
            <w:vAlign w:val="top"/>
          </w:tcPr>
          <w:p w14:paraId="2146660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713797EE">
        <w:trPr>
          <w:trHeight w:val="331" w:hRule="atLeast"/>
        </w:trPr>
        <w:tc>
          <w:tcPr>
            <w:tcW w:w="5683" w:type="dxa"/>
            <w:tcBorders>
              <w:left w:val="nil"/>
            </w:tcBorders>
            <w:vAlign w:val="top"/>
          </w:tcPr>
          <w:p w14:paraId="5D94AB7A">
            <w:pPr>
              <w:pStyle w:val="6"/>
              <w:keepNext w:val="0"/>
              <w:keepLines w:val="0"/>
              <w:pageBreakBefore w:val="0"/>
              <w:widowControl/>
              <w:kinsoku w:val="0"/>
              <w:wordWrap/>
              <w:overflowPunct/>
              <w:topLinePunct w:val="0"/>
              <w:autoSpaceDE w:val="0"/>
              <w:autoSpaceDN w:val="0"/>
              <w:bidi w:val="0"/>
              <w:adjustRightInd w:val="0"/>
              <w:snapToGrid w:val="0"/>
              <w:spacing w:before="50" w:line="240" w:lineRule="auto"/>
              <w:ind w:left="68"/>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5"/>
                <w:sz w:val="24"/>
                <w:szCs w:val="24"/>
              </w:rPr>
              <w:t>四、本期分红前共有综合盈余</w:t>
            </w:r>
          </w:p>
        </w:tc>
        <w:tc>
          <w:tcPr>
            <w:tcW w:w="1560" w:type="dxa"/>
            <w:vAlign w:val="top"/>
          </w:tcPr>
          <w:p w14:paraId="5C369B5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58" w:type="dxa"/>
            <w:tcBorders>
              <w:right w:val="nil"/>
            </w:tcBorders>
            <w:vAlign w:val="top"/>
          </w:tcPr>
          <w:p w14:paraId="1A64799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03B1D389">
        <w:trPr>
          <w:trHeight w:val="335" w:hRule="atLeast"/>
        </w:trPr>
        <w:tc>
          <w:tcPr>
            <w:tcW w:w="5683" w:type="dxa"/>
            <w:tcBorders>
              <w:left w:val="nil"/>
            </w:tcBorders>
            <w:vAlign w:val="top"/>
          </w:tcPr>
          <w:p w14:paraId="0EB33E3F">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49"/>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4"/>
                <w:sz w:val="24"/>
                <w:szCs w:val="24"/>
              </w:rPr>
              <w:t>五、本期可分配盈余</w:t>
            </w:r>
          </w:p>
        </w:tc>
        <w:tc>
          <w:tcPr>
            <w:tcW w:w="1560" w:type="dxa"/>
            <w:vAlign w:val="top"/>
          </w:tcPr>
          <w:p w14:paraId="4905E6A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58" w:type="dxa"/>
            <w:tcBorders>
              <w:right w:val="nil"/>
            </w:tcBorders>
            <w:vAlign w:val="top"/>
          </w:tcPr>
          <w:p w14:paraId="3B37A94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4A1E3E6E">
        <w:trPr>
          <w:trHeight w:val="336" w:hRule="atLeast"/>
        </w:trPr>
        <w:tc>
          <w:tcPr>
            <w:tcW w:w="5683" w:type="dxa"/>
            <w:tcBorders>
              <w:left w:val="nil"/>
            </w:tcBorders>
            <w:vAlign w:val="top"/>
          </w:tcPr>
          <w:p w14:paraId="64F3467F">
            <w:pPr>
              <w:pStyle w:val="6"/>
              <w:keepNext w:val="0"/>
              <w:keepLines w:val="0"/>
              <w:pageBreakBefore w:val="0"/>
              <w:widowControl/>
              <w:kinsoku w:val="0"/>
              <w:wordWrap/>
              <w:overflowPunct/>
              <w:topLinePunct w:val="0"/>
              <w:autoSpaceDE w:val="0"/>
              <w:autoSpaceDN w:val="0"/>
              <w:bidi w:val="0"/>
              <w:adjustRightInd w:val="0"/>
              <w:snapToGrid w:val="0"/>
              <w:spacing w:before="50" w:line="240" w:lineRule="auto"/>
              <w:ind w:left="49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——本期保户保单红利</w:t>
            </w:r>
          </w:p>
        </w:tc>
        <w:tc>
          <w:tcPr>
            <w:tcW w:w="1560" w:type="dxa"/>
            <w:vAlign w:val="top"/>
          </w:tcPr>
          <w:p w14:paraId="51B7419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58" w:type="dxa"/>
            <w:tcBorders>
              <w:right w:val="nil"/>
            </w:tcBorders>
            <w:vAlign w:val="top"/>
          </w:tcPr>
          <w:p w14:paraId="07B416A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683AEB73">
        <w:trPr>
          <w:trHeight w:val="335" w:hRule="atLeast"/>
        </w:trPr>
        <w:tc>
          <w:tcPr>
            <w:tcW w:w="5683" w:type="dxa"/>
            <w:tcBorders>
              <w:left w:val="nil"/>
            </w:tcBorders>
            <w:vAlign w:val="top"/>
          </w:tcPr>
          <w:p w14:paraId="3F2CDC6E">
            <w:pPr>
              <w:pStyle w:val="6"/>
              <w:keepNext w:val="0"/>
              <w:keepLines w:val="0"/>
              <w:pageBreakBefore w:val="0"/>
              <w:widowControl/>
              <w:kinsoku w:val="0"/>
              <w:wordWrap/>
              <w:overflowPunct/>
              <w:topLinePunct w:val="0"/>
              <w:autoSpaceDE w:val="0"/>
              <w:autoSpaceDN w:val="0"/>
              <w:bidi w:val="0"/>
              <w:adjustRightInd w:val="0"/>
              <w:snapToGrid w:val="0"/>
              <w:spacing w:before="59" w:line="240" w:lineRule="auto"/>
              <w:ind w:left="494"/>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——本期股东保单红利</w:t>
            </w:r>
          </w:p>
        </w:tc>
        <w:tc>
          <w:tcPr>
            <w:tcW w:w="1560" w:type="dxa"/>
            <w:vAlign w:val="top"/>
          </w:tcPr>
          <w:p w14:paraId="3AD674F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58" w:type="dxa"/>
            <w:tcBorders>
              <w:right w:val="nil"/>
            </w:tcBorders>
            <w:vAlign w:val="top"/>
          </w:tcPr>
          <w:p w14:paraId="780BAC2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46F80F61">
        <w:trPr>
          <w:trHeight w:val="335" w:hRule="atLeast"/>
        </w:trPr>
        <w:tc>
          <w:tcPr>
            <w:tcW w:w="5683" w:type="dxa"/>
            <w:tcBorders>
              <w:left w:val="nil"/>
            </w:tcBorders>
            <w:vAlign w:val="top"/>
          </w:tcPr>
          <w:p w14:paraId="12D37961">
            <w:pPr>
              <w:pStyle w:val="6"/>
              <w:keepNext w:val="0"/>
              <w:keepLines w:val="0"/>
              <w:pageBreakBefore w:val="0"/>
              <w:widowControl/>
              <w:kinsoku w:val="0"/>
              <w:wordWrap/>
              <w:overflowPunct/>
              <w:topLinePunct w:val="0"/>
              <w:autoSpaceDE w:val="0"/>
              <w:autoSpaceDN w:val="0"/>
              <w:bidi w:val="0"/>
              <w:adjustRightInd w:val="0"/>
              <w:snapToGrid w:val="0"/>
              <w:spacing w:before="61" w:line="240" w:lineRule="auto"/>
              <w:ind w:left="51"/>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3"/>
                <w:sz w:val="24"/>
                <w:szCs w:val="24"/>
              </w:rPr>
              <w:t>六、本期分红后的分红保险特别储备</w:t>
            </w:r>
          </w:p>
        </w:tc>
        <w:tc>
          <w:tcPr>
            <w:tcW w:w="1560" w:type="dxa"/>
            <w:vAlign w:val="top"/>
          </w:tcPr>
          <w:p w14:paraId="681A26F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58" w:type="dxa"/>
            <w:tcBorders>
              <w:right w:val="nil"/>
            </w:tcBorders>
            <w:vAlign w:val="top"/>
          </w:tcPr>
          <w:p w14:paraId="0EB8274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03005CE0">
        <w:trPr>
          <w:trHeight w:val="336" w:hRule="atLeast"/>
        </w:trPr>
        <w:tc>
          <w:tcPr>
            <w:tcW w:w="5683" w:type="dxa"/>
            <w:tcBorders>
              <w:left w:val="nil"/>
            </w:tcBorders>
            <w:vAlign w:val="top"/>
          </w:tcPr>
          <w:p w14:paraId="0F1AF11C">
            <w:pPr>
              <w:pStyle w:val="6"/>
              <w:keepNext w:val="0"/>
              <w:keepLines w:val="0"/>
              <w:pageBreakBefore w:val="0"/>
              <w:widowControl/>
              <w:kinsoku w:val="0"/>
              <w:wordWrap/>
              <w:overflowPunct/>
              <w:topLinePunct w:val="0"/>
              <w:autoSpaceDE w:val="0"/>
              <w:autoSpaceDN w:val="0"/>
              <w:bidi w:val="0"/>
              <w:adjustRightInd w:val="0"/>
              <w:snapToGrid w:val="0"/>
              <w:spacing w:before="62" w:line="240" w:lineRule="auto"/>
              <w:ind w:left="47"/>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3"/>
                <w:sz w:val="24"/>
                <w:szCs w:val="24"/>
              </w:rPr>
              <w:t>七、分红保险准备金余额</w:t>
            </w:r>
          </w:p>
        </w:tc>
        <w:tc>
          <w:tcPr>
            <w:tcW w:w="1560" w:type="dxa"/>
            <w:vAlign w:val="top"/>
          </w:tcPr>
          <w:p w14:paraId="467BABC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58" w:type="dxa"/>
            <w:tcBorders>
              <w:right w:val="nil"/>
            </w:tcBorders>
            <w:vAlign w:val="top"/>
          </w:tcPr>
          <w:p w14:paraId="33BEDCD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r w14:paraId="5040B64F">
        <w:trPr>
          <w:trHeight w:val="336" w:hRule="atLeast"/>
        </w:trPr>
        <w:tc>
          <w:tcPr>
            <w:tcW w:w="5683" w:type="dxa"/>
            <w:tcBorders>
              <w:left w:val="nil"/>
            </w:tcBorders>
            <w:vAlign w:val="top"/>
          </w:tcPr>
          <w:p w14:paraId="21209FCE">
            <w:pPr>
              <w:pStyle w:val="6"/>
              <w:keepNext w:val="0"/>
              <w:keepLines w:val="0"/>
              <w:pageBreakBefore w:val="0"/>
              <w:widowControl/>
              <w:kinsoku w:val="0"/>
              <w:wordWrap/>
              <w:overflowPunct/>
              <w:topLinePunct w:val="0"/>
              <w:autoSpaceDE w:val="0"/>
              <w:autoSpaceDN w:val="0"/>
              <w:bidi w:val="0"/>
              <w:adjustRightInd w:val="0"/>
              <w:snapToGrid w:val="0"/>
              <w:spacing w:before="62" w:line="240" w:lineRule="auto"/>
              <w:ind w:left="46"/>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pacing w:val="-2"/>
                <w:sz w:val="24"/>
                <w:szCs w:val="24"/>
              </w:rPr>
              <w:t>八、分红保险特别储备余额与分红保险准备金余额的</w:t>
            </w:r>
            <w:r>
              <w:rPr>
                <w:rFonts w:hint="eastAsia" w:ascii="仿宋_GB2312" w:hAnsi="仿宋_GB2312" w:eastAsia="仿宋_GB2312" w:cs="仿宋_GB2312"/>
                <w:b/>
                <w:bCs/>
                <w:spacing w:val="-3"/>
                <w:sz w:val="24"/>
                <w:szCs w:val="24"/>
              </w:rPr>
              <w:t>比值</w:t>
            </w:r>
          </w:p>
        </w:tc>
        <w:tc>
          <w:tcPr>
            <w:tcW w:w="1560" w:type="dxa"/>
            <w:vAlign w:val="top"/>
          </w:tcPr>
          <w:p w14:paraId="460977E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c>
          <w:tcPr>
            <w:tcW w:w="1358" w:type="dxa"/>
            <w:tcBorders>
              <w:right w:val="nil"/>
            </w:tcBorders>
            <w:vAlign w:val="top"/>
          </w:tcPr>
          <w:p w14:paraId="28AB300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仿宋_GB2312" w:hAnsi="仿宋_GB2312" w:eastAsia="仿宋_GB2312" w:cs="仿宋_GB2312"/>
                <w:sz w:val="24"/>
                <w:szCs w:val="24"/>
              </w:rPr>
            </w:pPr>
          </w:p>
        </w:tc>
      </w:tr>
    </w:tbl>
    <w:p w14:paraId="3BB63403">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附注：</w:t>
      </w:r>
    </w:p>
    <w:p w14:paraId="69115A15">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1.格式一和格式三采用损益表口径填报，格式二和格式四采用资产负债表口径填报。</w:t>
      </w:r>
    </w:p>
    <w:p w14:paraId="64D055A3">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2.各保险公司可以根据自己实际情况，将本期业务盈余划分为本期股东专属盈余和本期分红账户共有盈余两部分。</w:t>
      </w:r>
    </w:p>
    <w:p w14:paraId="3F587513">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3.本期股东专属盈余是指年度盈余中权益完全属于股东的部分，它不参与面向保单持有人的红利分配。</w:t>
      </w:r>
    </w:p>
    <w:p w14:paraId="5D7F940B">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4.本期分红账户共有盈余是指年度盈余中权益共同属于保单持有人和股东双方的部分，其定义应与《分红保险精算规定》第十四条保持一致。</w:t>
      </w:r>
    </w:p>
    <w:p w14:paraId="57CFBBD3">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5.综合盈余是指在损益表口径的盈余基础上考虑了可供出售金融资产公允价值变动的盈余。</w:t>
      </w:r>
    </w:p>
    <w:p w14:paraId="0F4B6649">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6.转回分红保险特别储备填报上一年度分红保险特别储备余额。</w:t>
      </w:r>
    </w:p>
    <w:p w14:paraId="792DBE76">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7.上一年度红利派发差异调整是指对上一年度公司宣告的保单红利与实际派发（增加保额等）红利之间的差异部分，应该转回并重新参与未来保单红利分配所做的调整。</w:t>
      </w:r>
    </w:p>
    <w:p w14:paraId="4FDDB2AF">
      <w:pPr>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8.本期分红前共有盈余等于本期分红账户共有盈余， 加转回分红保险特别储备，加上一年度红利派发调整。</w:t>
      </w:r>
    </w:p>
    <w:p w14:paraId="6EF59AF5">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9.本期可分配盈余等于本期保户保单红利，加上</w:t>
      </w:r>
      <w:r>
        <w:rPr>
          <w:rFonts w:hint="eastAsia" w:ascii="仿宋_GB2312" w:hAnsi="仿宋_GB2312" w:eastAsia="仿宋_GB2312" w:cs="仿宋_GB2312"/>
          <w:spacing w:val="-1"/>
          <w:sz w:val="32"/>
          <w:szCs w:val="32"/>
        </w:rPr>
        <w:t>本期股东保单红利。</w:t>
      </w:r>
    </w:p>
    <w:p w14:paraId="2E567CB2">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10.本期分红后的分红保险特别储备等于本期分红前共有盈余，减去本期可分配盈余。</w:t>
      </w:r>
    </w:p>
    <w:p w14:paraId="2505315E">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firstLine="668"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7"/>
          <w:sz w:val="32"/>
          <w:szCs w:val="32"/>
        </w:rPr>
        <w:t>11.分红保险准备金余额科目中所指准备金应与《分红保险精</w:t>
      </w:r>
      <w:r>
        <w:rPr>
          <w:rFonts w:hint="eastAsia" w:ascii="仿宋_GB2312" w:hAnsi="仿宋_GB2312" w:eastAsia="仿宋_GB2312" w:cs="仿宋_GB2312"/>
          <w:spacing w:val="6"/>
          <w:sz w:val="32"/>
          <w:szCs w:val="32"/>
        </w:rPr>
        <w:t>算规定》第十四条保持一致。</w:t>
      </w:r>
      <w:bookmarkStart w:id="0" w:name="_GoBack"/>
      <w:bookmarkEnd w:id="0"/>
    </w:p>
    <w:sectPr>
      <w:footerReference r:id="rId7"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B8285">
    <w:pPr>
      <w:spacing w:line="320" w:lineRule="exact"/>
      <w:ind w:left="8088"/>
      <w:rPr>
        <w:rFonts w:ascii="Arial" w:hAnsi="Arial" w:eastAsia="Arial" w:cs="Arial"/>
        <w:sz w:val="27"/>
        <w:szCs w:val="27"/>
      </w:rPr>
    </w:pPr>
    <w:r>
      <w:rPr>
        <w:rFonts w:ascii="Arial" w:hAnsi="Arial" w:eastAsia="Arial" w:cs="Arial"/>
        <w:spacing w:val="6"/>
        <w:sz w:val="27"/>
        <w:szCs w:val="27"/>
      </w:rPr>
      <w:t>-</w:t>
    </w:r>
    <w:r>
      <w:rPr>
        <w:rFonts w:ascii="Arial" w:hAnsi="Arial" w:eastAsia="Arial" w:cs="Arial"/>
        <w:spacing w:val="11"/>
        <w:sz w:val="27"/>
        <w:szCs w:val="27"/>
      </w:rPr>
      <w:t xml:space="preserve">  </w:t>
    </w:r>
    <w:r>
      <w:rPr>
        <w:rFonts w:ascii="Arial" w:hAnsi="Arial" w:eastAsia="Arial" w:cs="Arial"/>
        <w:spacing w:val="6"/>
        <w:sz w:val="27"/>
        <w:szCs w:val="27"/>
      </w:rPr>
      <w:t>15</w:t>
    </w:r>
    <w:r>
      <w:rPr>
        <w:rFonts w:ascii="Arial" w:hAnsi="Arial" w:eastAsia="Arial" w:cs="Arial"/>
        <w:spacing w:val="74"/>
        <w:sz w:val="27"/>
        <w:szCs w:val="27"/>
      </w:rPr>
      <w:t xml:space="preserve"> </w:t>
    </w:r>
    <w:r>
      <w:rPr>
        <w:rFonts w:ascii="Arial" w:hAnsi="Arial" w:eastAsia="Arial" w:cs="Arial"/>
        <w:spacing w:val="6"/>
        <w:sz w:val="27"/>
        <w:szCs w:val="27"/>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E5D2F">
    <w:pPr>
      <w:spacing w:line="324" w:lineRule="exact"/>
      <w:ind w:left="8088"/>
      <w:rPr>
        <w:rFonts w:ascii="Arial" w:hAnsi="Arial" w:eastAsia="Arial" w:cs="Arial"/>
        <w:sz w:val="27"/>
        <w:szCs w:val="27"/>
      </w:rPr>
    </w:pPr>
    <w:r>
      <w:rPr>
        <w:rFonts w:ascii="Arial" w:hAnsi="Arial" w:eastAsia="Arial" w:cs="Arial"/>
        <w:spacing w:val="6"/>
        <w:sz w:val="27"/>
        <w:szCs w:val="27"/>
      </w:rPr>
      <w:t>-</w:t>
    </w:r>
    <w:r>
      <w:rPr>
        <w:rFonts w:ascii="Arial" w:hAnsi="Arial" w:eastAsia="Arial" w:cs="Arial"/>
        <w:spacing w:val="11"/>
        <w:sz w:val="27"/>
        <w:szCs w:val="27"/>
      </w:rPr>
      <w:t xml:space="preserve">  </w:t>
    </w:r>
    <w:r>
      <w:rPr>
        <w:rFonts w:ascii="Arial" w:hAnsi="Arial" w:eastAsia="Arial" w:cs="Arial"/>
        <w:spacing w:val="6"/>
        <w:sz w:val="27"/>
        <w:szCs w:val="27"/>
      </w:rPr>
      <w:t>17</w:t>
    </w:r>
    <w:r>
      <w:rPr>
        <w:rFonts w:ascii="Arial" w:hAnsi="Arial" w:eastAsia="Arial" w:cs="Arial"/>
        <w:spacing w:val="74"/>
        <w:sz w:val="27"/>
        <w:szCs w:val="27"/>
      </w:rPr>
      <w:t xml:space="preserve"> </w:t>
    </w:r>
    <w:r>
      <w:rPr>
        <w:rFonts w:ascii="Arial" w:hAnsi="Arial" w:eastAsia="Arial" w:cs="Arial"/>
        <w:spacing w:val="6"/>
        <w:sz w:val="27"/>
        <w:szCs w:val="27"/>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866CE">
    <w:pPr>
      <w:spacing w:line="320" w:lineRule="exact"/>
      <w:ind w:right="14"/>
      <w:jc w:val="right"/>
      <w:rPr>
        <w:rFonts w:ascii="Arial" w:hAnsi="Arial" w:eastAsia="Arial" w:cs="Arial"/>
        <w:sz w:val="27"/>
        <w:szCs w:val="27"/>
      </w:rPr>
    </w:pPr>
    <w:r>
      <w:rPr>
        <w:rFonts w:ascii="Arial" w:hAnsi="Arial" w:eastAsia="Arial" w:cs="Arial"/>
        <w:spacing w:val="6"/>
        <w:sz w:val="27"/>
        <w:szCs w:val="27"/>
      </w:rPr>
      <w:t>-</w:t>
    </w:r>
    <w:r>
      <w:rPr>
        <w:rFonts w:ascii="Arial" w:hAnsi="Arial" w:eastAsia="Arial" w:cs="Arial"/>
        <w:spacing w:val="11"/>
        <w:sz w:val="27"/>
        <w:szCs w:val="27"/>
      </w:rPr>
      <w:t xml:space="preserve">  </w:t>
    </w:r>
    <w:r>
      <w:rPr>
        <w:rFonts w:ascii="Arial" w:hAnsi="Arial" w:eastAsia="Arial" w:cs="Arial"/>
        <w:spacing w:val="6"/>
        <w:sz w:val="27"/>
        <w:szCs w:val="27"/>
      </w:rPr>
      <w:t>19</w:t>
    </w:r>
    <w:r>
      <w:rPr>
        <w:rFonts w:ascii="Arial" w:hAnsi="Arial" w:eastAsia="Arial" w:cs="Arial"/>
        <w:spacing w:val="74"/>
        <w:sz w:val="27"/>
        <w:szCs w:val="27"/>
      </w:rPr>
      <w:t xml:space="preserve"> </w:t>
    </w:r>
    <w:r>
      <w:rPr>
        <w:rFonts w:ascii="Arial" w:hAnsi="Arial" w:eastAsia="Arial" w:cs="Arial"/>
        <w:spacing w:val="6"/>
        <w:sz w:val="27"/>
        <w:szCs w:val="27"/>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F7E094"/>
    <w:rsid w:val="77DD0429"/>
    <w:rsid w:val="7F7B36CB"/>
    <w:rsid w:val="FDD80616"/>
    <w:rsid w:val="FFAD6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PingFang SC" w:hAnsi="PingFang SC" w:eastAsia="PingFang SC" w:cs="PingFang SC"/>
      <w:sz w:val="32"/>
      <w:szCs w:val="32"/>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PingFang SC" w:hAnsi="PingFang SC" w:eastAsia="PingFang SC" w:cs="PingFang SC"/>
      <w:sz w:val="27"/>
      <w:szCs w:val="27"/>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Office_12.1.26016.26016_F1E327BC-269C-435d-A152-05C5408002CA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2026-06-22T01:16:00Z</dcterms:created>
  <dc:creator>Data</dc:creator>
  <cp:lastModifiedBy>彭云龙</cp:lastModifiedBy>
  <dcterms:modified xsi:type="dcterms:W3CDTF">2026-06-21T17:20:57Z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2052-12.1.26016.26016</vt:lpwstr>
  </property>
  <property fmtid="{D5CDD505-2E9C-101B-9397-08002B2CF9AE}" pid="3" name="ICV">
    <vt:lpwstr>00B09CCBCD5C6CDEEEAB376A76DC0802_42</vt:lpwstr>
  </property>
</Properties>
</file>