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outlineLvl w:val="9"/>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附件</w:t>
      </w:r>
      <w:r>
        <w:rPr>
          <w:rFonts w:hint="eastAsia" w:ascii="黑体" w:hAnsi="黑体" w:eastAsia="黑体" w:cs="黑体"/>
          <w:sz w:val="32"/>
          <w:szCs w:val="32"/>
          <w:highlight w:val="none"/>
          <w:lang w:val="en-US" w:eastAsia="zh-CN"/>
        </w:rPr>
        <w:t>1</w:t>
      </w:r>
      <w:bookmarkStart w:id="147" w:name="_GoBack"/>
      <w:bookmarkEnd w:id="147"/>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eastAsia="黑体"/>
          <w:sz w:val="7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eastAsia="黑体"/>
          <w:sz w:val="72"/>
          <w:highlight w:val="none"/>
        </w:rPr>
      </w:pPr>
    </w:p>
    <w:p>
      <w:pPr>
        <w:jc w:val="center"/>
        <w:rPr>
          <w:rFonts w:ascii="Times New Roman" w:hAnsi="Times New Roman" w:eastAsia="黑体"/>
          <w:sz w:val="36"/>
          <w:szCs w:val="36"/>
        </w:rPr>
      </w:pPr>
      <w:r>
        <w:rPr>
          <w:rFonts w:hint="eastAsia" w:ascii="Times New Roman" w:hAnsi="Times New Roman" w:eastAsia="黑体"/>
          <w:sz w:val="36"/>
          <w:szCs w:val="36"/>
        </w:rPr>
        <w:t>中国</w:t>
      </w:r>
      <w:r>
        <w:rPr>
          <w:rFonts w:hint="eastAsia" w:ascii="Times New Roman" w:hAnsi="Times New Roman" w:eastAsia="黑体"/>
          <w:sz w:val="36"/>
          <w:szCs w:val="36"/>
          <w:lang w:eastAsia="zh-CN"/>
        </w:rPr>
        <w:t>银保监会</w:t>
      </w:r>
      <w:r>
        <w:rPr>
          <w:rFonts w:hint="eastAsia" w:ascii="Times New Roman" w:hAnsi="Times New Roman" w:eastAsia="黑体"/>
          <w:sz w:val="36"/>
          <w:szCs w:val="36"/>
        </w:rPr>
        <w:t>保险业监管数据标准化规范</w:t>
      </w:r>
    </w:p>
    <w:p>
      <w:pPr>
        <w:jc w:val="center"/>
        <w:rPr>
          <w:rFonts w:ascii="Times New Roman" w:hAnsi="Times New Roman" w:eastAsia="黑体"/>
          <w:sz w:val="36"/>
          <w:szCs w:val="36"/>
        </w:rPr>
      </w:pPr>
      <w:r>
        <w:rPr>
          <w:rFonts w:hint="eastAsia" w:ascii="Times New Roman" w:hAnsi="Times New Roman" w:eastAsia="黑体"/>
          <w:sz w:val="36"/>
          <w:szCs w:val="36"/>
        </w:rPr>
        <w:t>（财产保险公司版</w:t>
      </w:r>
      <w:r>
        <w:rPr>
          <w:rFonts w:hint="eastAsia" w:ascii="Times New Roman" w:hAnsi="Times New Roman" w:eastAsia="黑体"/>
          <w:sz w:val="36"/>
          <w:szCs w:val="36"/>
          <w:lang w:eastAsia="zh-CN"/>
        </w:rPr>
        <w:t>）</w:t>
      </w:r>
    </w:p>
    <w:p>
      <w:pPr>
        <w:jc w:val="center"/>
        <w:rPr>
          <w:rFonts w:ascii="Times New Roman" w:hAnsi="Times New Roman"/>
          <w:b/>
          <w:sz w:val="52"/>
          <w:szCs w:val="52"/>
        </w:rPr>
      </w:pPr>
    </w:p>
    <w:p>
      <w:pPr>
        <w:jc w:val="center"/>
        <w:rPr>
          <w:rFonts w:ascii="Times New Roman" w:hAnsi="Times New Roman"/>
          <w:b/>
          <w:sz w:val="36"/>
        </w:rPr>
      </w:pPr>
    </w:p>
    <w:p>
      <w:pPr>
        <w:jc w:val="center"/>
        <w:rPr>
          <w:rFonts w:ascii="Times New Roman" w:hAnsi="Times New Roman"/>
          <w:b/>
          <w:sz w:val="36"/>
        </w:rPr>
      </w:pPr>
    </w:p>
    <w:p>
      <w:pPr>
        <w:jc w:val="center"/>
        <w:rPr>
          <w:rFonts w:ascii="Times New Roman" w:hAnsi="Times New Roman"/>
          <w:b/>
          <w:sz w:val="36"/>
        </w:rPr>
      </w:pPr>
    </w:p>
    <w:p>
      <w:pPr>
        <w:jc w:val="center"/>
        <w:rPr>
          <w:rFonts w:ascii="Times New Roman" w:hAnsi="Times New Roman"/>
          <w:b/>
          <w:sz w:val="36"/>
        </w:rPr>
      </w:pPr>
    </w:p>
    <w:p>
      <w:pPr>
        <w:jc w:val="center"/>
        <w:rPr>
          <w:rFonts w:ascii="Times New Roman" w:hAnsi="Times New Roman"/>
          <w:b/>
          <w:sz w:val="36"/>
        </w:rPr>
      </w:pPr>
    </w:p>
    <w:p>
      <w:pPr>
        <w:jc w:val="center"/>
        <w:rPr>
          <w:rFonts w:ascii="Times New Roman" w:hAnsi="Times New Roman"/>
          <w:b/>
          <w:sz w:val="36"/>
        </w:rPr>
      </w:pPr>
    </w:p>
    <w:p>
      <w:pPr>
        <w:jc w:val="center"/>
        <w:rPr>
          <w:rFonts w:ascii="Times New Roman" w:hAnsi="Times New Roman"/>
          <w:b/>
          <w:sz w:val="36"/>
        </w:rPr>
      </w:pPr>
    </w:p>
    <w:p>
      <w:pPr>
        <w:jc w:val="center"/>
        <w:rPr>
          <w:rFonts w:ascii="Times New Roman" w:hAnsi="Times New Roman"/>
          <w:b/>
          <w:sz w:val="36"/>
        </w:rPr>
      </w:pPr>
    </w:p>
    <w:p>
      <w:pPr>
        <w:jc w:val="center"/>
        <w:rPr>
          <w:rFonts w:ascii="Times New Roman" w:hAnsi="Times New Roman"/>
          <w:b/>
          <w:sz w:val="36"/>
        </w:rPr>
      </w:pPr>
    </w:p>
    <w:p>
      <w:pPr>
        <w:jc w:val="center"/>
        <w:rPr>
          <w:rFonts w:ascii="Times New Roman" w:hAnsi="Times New Roman"/>
          <w:b/>
          <w:sz w:val="36"/>
        </w:rPr>
      </w:pPr>
    </w:p>
    <w:p>
      <w:pPr>
        <w:jc w:val="both"/>
        <w:rPr>
          <w:rFonts w:ascii="Times New Roman" w:hAnsi="Times New Roman"/>
          <w:b/>
          <w:sz w:val="36"/>
        </w:rPr>
      </w:pPr>
    </w:p>
    <w:p>
      <w:pPr>
        <w:jc w:val="center"/>
        <w:rPr>
          <w:rFonts w:hint="eastAsia" w:ascii="仿宋_GB2312" w:hAnsi="仿宋_GB2312" w:eastAsia="仿宋_GB2312" w:cs="仿宋_GB2312"/>
          <w:bCs/>
          <w:sz w:val="30"/>
          <w:szCs w:val="30"/>
        </w:rPr>
      </w:pPr>
      <w:r>
        <w:rPr>
          <w:rFonts w:hint="eastAsia" w:ascii="仿宋_GB2312" w:hAnsi="仿宋_GB2312" w:eastAsia="仿宋_GB2312" w:cs="仿宋_GB2312"/>
          <w:bCs/>
          <w:sz w:val="30"/>
          <w:szCs w:val="30"/>
        </w:rPr>
        <w:t>202</w:t>
      </w:r>
      <w:r>
        <w:rPr>
          <w:rFonts w:hint="eastAsia" w:ascii="仿宋_GB2312" w:hAnsi="仿宋_GB2312" w:eastAsia="仿宋_GB2312" w:cs="仿宋_GB2312"/>
          <w:bCs/>
          <w:sz w:val="30"/>
          <w:szCs w:val="30"/>
          <w:lang w:val="en-US" w:eastAsia="zh-CN"/>
        </w:rPr>
        <w:t>1</w:t>
      </w:r>
      <w:r>
        <w:rPr>
          <w:rFonts w:hint="eastAsia" w:ascii="仿宋_GB2312" w:hAnsi="仿宋_GB2312" w:eastAsia="仿宋_GB2312" w:cs="仿宋_GB2312"/>
          <w:bCs/>
          <w:sz w:val="30"/>
          <w:szCs w:val="30"/>
        </w:rPr>
        <w:t>年1月</w:t>
      </w:r>
    </w:p>
    <w:p>
      <w:pPr>
        <w:jc w:val="center"/>
        <w:rPr>
          <w:rFonts w:hint="eastAsia" w:ascii="Times New Roman" w:hAnsi="Times New Roman" w:eastAsia="黑体" w:cs="黑体"/>
          <w:bCs/>
          <w:sz w:val="36"/>
        </w:rPr>
      </w:pPr>
      <w:r>
        <w:rPr>
          <w:rFonts w:hint="eastAsia" w:ascii="Times New Roman" w:hAnsi="Times New Roman" w:eastAsia="黑体" w:cs="黑体"/>
          <w:bCs/>
          <w:sz w:val="36"/>
        </w:rPr>
        <w:br w:type="page"/>
      </w:r>
    </w:p>
    <w:p/>
    <w:p>
      <w:pPr>
        <w:jc w:val="center"/>
        <w:rPr>
          <w:rFonts w:ascii="黑体" w:hAnsi="黑体" w:eastAsia="黑体" w:cs="黑体"/>
          <w:bCs/>
          <w:color w:val="FF0000"/>
          <w:sz w:val="36"/>
          <w:szCs w:val="36"/>
        </w:rPr>
      </w:pPr>
      <w:r>
        <w:rPr>
          <w:rFonts w:hint="eastAsia" w:ascii="黑体" w:hAnsi="黑体" w:eastAsia="黑体" w:cs="黑体"/>
          <w:bCs/>
          <w:sz w:val="36"/>
          <w:szCs w:val="36"/>
        </w:rPr>
        <w:t>目  录</w:t>
      </w:r>
    </w:p>
    <w:p>
      <w:pPr>
        <w:pStyle w:val="17"/>
        <w:tabs>
          <w:tab w:val="right" w:leader="dot" w:pos="8306"/>
        </w:tabs>
      </w:pPr>
      <w:bookmarkStart w:id="0" w:name="_Toc9194"/>
      <w:bookmarkStart w:id="1" w:name="_Toc15448"/>
      <w:bookmarkStart w:id="2" w:name="_Toc5118"/>
      <w:bookmarkStart w:id="3" w:name="_Toc18346"/>
      <w:r>
        <w:fldChar w:fldCharType="begin"/>
      </w:r>
      <w:r>
        <w:instrText xml:space="preserve">TOC \o "1-3" \h \u </w:instrText>
      </w:r>
      <w:r>
        <w:fldChar w:fldCharType="separate"/>
      </w:r>
      <w:r>
        <w:fldChar w:fldCharType="begin"/>
      </w:r>
      <w:r>
        <w:instrText xml:space="preserve"> HYPERLINK \l _Toc11072 </w:instrText>
      </w:r>
      <w:r>
        <w:fldChar w:fldCharType="separate"/>
      </w:r>
      <w:r>
        <w:t>一、 数据结构</w:t>
      </w:r>
      <w:r>
        <w:tab/>
      </w:r>
      <w:r>
        <w:fldChar w:fldCharType="begin"/>
      </w:r>
      <w:r>
        <w:instrText xml:space="preserve"> PAGEREF _Toc11072 </w:instrText>
      </w:r>
      <w:r>
        <w:fldChar w:fldCharType="separate"/>
      </w:r>
      <w:r>
        <w:t>1</w:t>
      </w:r>
      <w:r>
        <w:fldChar w:fldCharType="end"/>
      </w:r>
      <w:r>
        <w:fldChar w:fldCharType="end"/>
      </w:r>
    </w:p>
    <w:p>
      <w:pPr>
        <w:pStyle w:val="20"/>
        <w:tabs>
          <w:tab w:val="right" w:leader="dot" w:pos="8306"/>
        </w:tabs>
      </w:pPr>
      <w:r>
        <w:fldChar w:fldCharType="begin"/>
      </w:r>
      <w:r>
        <w:instrText xml:space="preserve"> HYPERLINK \l _Toc11606 </w:instrText>
      </w:r>
      <w:r>
        <w:fldChar w:fldCharType="separate"/>
      </w:r>
      <w:r>
        <w:rPr>
          <w:rFonts w:hint="eastAsia" w:ascii="楷体_GB2312" w:hAnsi="楷体" w:eastAsia="楷体_GB2312"/>
        </w:rPr>
        <w:t xml:space="preserve">(一) </w:t>
      </w:r>
      <w:r>
        <w:t>数据结构单元</w:t>
      </w:r>
      <w:r>
        <w:tab/>
      </w:r>
      <w:r>
        <w:fldChar w:fldCharType="begin"/>
      </w:r>
      <w:r>
        <w:instrText xml:space="preserve"> PAGEREF _Toc11606 </w:instrText>
      </w:r>
      <w:r>
        <w:fldChar w:fldCharType="separate"/>
      </w:r>
      <w:r>
        <w:t>1</w:t>
      </w:r>
      <w:r>
        <w:fldChar w:fldCharType="end"/>
      </w:r>
      <w:r>
        <w:fldChar w:fldCharType="end"/>
      </w:r>
    </w:p>
    <w:p>
      <w:pPr>
        <w:pStyle w:val="20"/>
        <w:tabs>
          <w:tab w:val="right" w:leader="dot" w:pos="8306"/>
        </w:tabs>
      </w:pPr>
      <w:r>
        <w:fldChar w:fldCharType="begin"/>
      </w:r>
      <w:r>
        <w:instrText xml:space="preserve"> HYPERLINK \l _Toc22244 </w:instrText>
      </w:r>
      <w:r>
        <w:fldChar w:fldCharType="separate"/>
      </w:r>
      <w:r>
        <w:rPr>
          <w:rFonts w:hint="eastAsia" w:ascii="楷体_GB2312" w:hAnsi="楷体" w:eastAsia="楷体_GB2312"/>
          <w:szCs w:val="22"/>
        </w:rPr>
        <w:t xml:space="preserve">(二) </w:t>
      </w:r>
      <w:r>
        <w:rPr>
          <w:szCs w:val="22"/>
        </w:rPr>
        <w:t>数据内容及格式</w:t>
      </w:r>
      <w:r>
        <w:tab/>
      </w:r>
      <w:r>
        <w:fldChar w:fldCharType="begin"/>
      </w:r>
      <w:r>
        <w:instrText xml:space="preserve"> PAGEREF _Toc22244 </w:instrText>
      </w:r>
      <w:r>
        <w:fldChar w:fldCharType="separate"/>
      </w:r>
      <w:r>
        <w:t>1</w:t>
      </w:r>
      <w:r>
        <w:fldChar w:fldCharType="end"/>
      </w:r>
      <w:r>
        <w:fldChar w:fldCharType="end"/>
      </w:r>
    </w:p>
    <w:p>
      <w:pPr>
        <w:pStyle w:val="20"/>
        <w:tabs>
          <w:tab w:val="right" w:leader="dot" w:pos="8306"/>
        </w:tabs>
      </w:pPr>
      <w:r>
        <w:fldChar w:fldCharType="begin"/>
      </w:r>
      <w:r>
        <w:instrText xml:space="preserve"> HYPERLINK \l _Toc117 </w:instrText>
      </w:r>
      <w:r>
        <w:fldChar w:fldCharType="separate"/>
      </w:r>
      <w:r>
        <w:rPr>
          <w:rFonts w:hint="eastAsia" w:ascii="楷体_GB2312" w:hAnsi="楷体" w:eastAsia="楷体_GB2312"/>
          <w:szCs w:val="22"/>
        </w:rPr>
        <w:t xml:space="preserve">(三) </w:t>
      </w:r>
      <w:r>
        <w:rPr>
          <w:rFonts w:hint="eastAsia"/>
          <w:szCs w:val="22"/>
        </w:rPr>
        <w:t>数据结构</w:t>
      </w:r>
      <w:r>
        <w:tab/>
      </w:r>
      <w:r>
        <w:fldChar w:fldCharType="begin"/>
      </w:r>
      <w:r>
        <w:instrText xml:space="preserve"> PAGEREF _Toc117 </w:instrText>
      </w:r>
      <w:r>
        <w:fldChar w:fldCharType="separate"/>
      </w:r>
      <w:r>
        <w:t>2</w:t>
      </w:r>
      <w:r>
        <w:fldChar w:fldCharType="end"/>
      </w:r>
      <w:r>
        <w:fldChar w:fldCharType="end"/>
      </w:r>
    </w:p>
    <w:p>
      <w:pPr>
        <w:pStyle w:val="12"/>
        <w:tabs>
          <w:tab w:val="right" w:leader="dot" w:pos="8306"/>
        </w:tabs>
      </w:pPr>
      <w:r>
        <w:fldChar w:fldCharType="begin"/>
      </w:r>
      <w:r>
        <w:instrText xml:space="preserve"> HYPERLINK \l _Toc12289 </w:instrText>
      </w:r>
      <w:r>
        <w:fldChar w:fldCharType="separate"/>
      </w:r>
      <w:r>
        <w:rPr>
          <w:rFonts w:hint="default"/>
        </w:rPr>
        <w:t xml:space="preserve">1. </w:t>
      </w:r>
      <w:r>
        <w:t>公共信息</w:t>
      </w:r>
      <w:r>
        <w:tab/>
      </w:r>
      <w:r>
        <w:fldChar w:fldCharType="begin"/>
      </w:r>
      <w:r>
        <w:instrText xml:space="preserve"> PAGEREF _Toc12289 </w:instrText>
      </w:r>
      <w:r>
        <w:fldChar w:fldCharType="separate"/>
      </w:r>
      <w:r>
        <w:t>2</w:t>
      </w:r>
      <w:r>
        <w:fldChar w:fldCharType="end"/>
      </w:r>
      <w:r>
        <w:fldChar w:fldCharType="end"/>
      </w:r>
    </w:p>
    <w:p>
      <w:pPr>
        <w:pStyle w:val="12"/>
        <w:tabs>
          <w:tab w:val="right" w:leader="dot" w:pos="8306"/>
        </w:tabs>
      </w:pPr>
      <w:r>
        <w:fldChar w:fldCharType="begin"/>
      </w:r>
      <w:r>
        <w:instrText xml:space="preserve"> HYPERLINK \l _Toc32720 </w:instrText>
      </w:r>
      <w:r>
        <w:fldChar w:fldCharType="separate"/>
      </w:r>
      <w:r>
        <w:rPr>
          <w:rFonts w:hint="default"/>
        </w:rPr>
        <w:t xml:space="preserve">2. </w:t>
      </w:r>
      <w:r>
        <w:rPr>
          <w:rFonts w:hint="eastAsia"/>
        </w:rPr>
        <w:t>会计记账信息</w:t>
      </w:r>
      <w:r>
        <w:tab/>
      </w:r>
      <w:r>
        <w:fldChar w:fldCharType="begin"/>
      </w:r>
      <w:r>
        <w:instrText xml:space="preserve"> PAGEREF _Toc32720 </w:instrText>
      </w:r>
      <w:r>
        <w:fldChar w:fldCharType="separate"/>
      </w:r>
      <w:r>
        <w:t>24</w:t>
      </w:r>
      <w:r>
        <w:fldChar w:fldCharType="end"/>
      </w:r>
      <w:r>
        <w:fldChar w:fldCharType="end"/>
      </w:r>
    </w:p>
    <w:p>
      <w:pPr>
        <w:pStyle w:val="12"/>
        <w:tabs>
          <w:tab w:val="right" w:leader="dot" w:pos="8306"/>
        </w:tabs>
      </w:pPr>
      <w:r>
        <w:fldChar w:fldCharType="begin"/>
      </w:r>
      <w:r>
        <w:instrText xml:space="preserve"> HYPERLINK \l _Toc2938 </w:instrText>
      </w:r>
      <w:r>
        <w:fldChar w:fldCharType="separate"/>
      </w:r>
      <w:r>
        <w:rPr>
          <w:rFonts w:hint="default"/>
        </w:rPr>
        <w:t xml:space="preserve">3. </w:t>
      </w:r>
      <w:r>
        <w:rPr>
          <w:rFonts w:hint="eastAsia"/>
        </w:rPr>
        <w:t>客户信息</w:t>
      </w:r>
      <w:r>
        <w:tab/>
      </w:r>
      <w:r>
        <w:fldChar w:fldCharType="begin"/>
      </w:r>
      <w:r>
        <w:instrText xml:space="preserve"> PAGEREF _Toc2938 </w:instrText>
      </w:r>
      <w:r>
        <w:fldChar w:fldCharType="separate"/>
      </w:r>
      <w:r>
        <w:t>34</w:t>
      </w:r>
      <w:r>
        <w:fldChar w:fldCharType="end"/>
      </w:r>
      <w:r>
        <w:fldChar w:fldCharType="end"/>
      </w:r>
    </w:p>
    <w:p>
      <w:pPr>
        <w:pStyle w:val="12"/>
        <w:tabs>
          <w:tab w:val="right" w:leader="dot" w:pos="8306"/>
        </w:tabs>
      </w:pPr>
      <w:r>
        <w:fldChar w:fldCharType="begin"/>
      </w:r>
      <w:r>
        <w:instrText xml:space="preserve"> HYPERLINK \l _Toc29670 </w:instrText>
      </w:r>
      <w:r>
        <w:fldChar w:fldCharType="separate"/>
      </w:r>
      <w:r>
        <w:rPr>
          <w:rFonts w:hint="default"/>
        </w:rPr>
        <w:t xml:space="preserve">4. </w:t>
      </w:r>
      <w:r>
        <w:rPr>
          <w:rFonts w:hint="eastAsia"/>
        </w:rPr>
        <w:t>产品信息</w:t>
      </w:r>
      <w:r>
        <w:tab/>
      </w:r>
      <w:r>
        <w:fldChar w:fldCharType="begin"/>
      </w:r>
      <w:r>
        <w:instrText xml:space="preserve"> PAGEREF _Toc29670 </w:instrText>
      </w:r>
      <w:r>
        <w:fldChar w:fldCharType="separate"/>
      </w:r>
      <w:r>
        <w:t>41</w:t>
      </w:r>
      <w:r>
        <w:fldChar w:fldCharType="end"/>
      </w:r>
      <w:r>
        <w:fldChar w:fldCharType="end"/>
      </w:r>
    </w:p>
    <w:p>
      <w:pPr>
        <w:pStyle w:val="12"/>
        <w:tabs>
          <w:tab w:val="right" w:leader="dot" w:pos="8306"/>
        </w:tabs>
      </w:pPr>
      <w:r>
        <w:fldChar w:fldCharType="begin"/>
      </w:r>
      <w:r>
        <w:instrText xml:space="preserve"> HYPERLINK \l _Toc25173 </w:instrText>
      </w:r>
      <w:r>
        <w:fldChar w:fldCharType="separate"/>
      </w:r>
      <w:r>
        <w:rPr>
          <w:rFonts w:hint="default"/>
        </w:rPr>
        <w:t xml:space="preserve">5. </w:t>
      </w:r>
      <w:r>
        <w:rPr>
          <w:rFonts w:hint="eastAsia"/>
        </w:rPr>
        <w:t>保单基础信息</w:t>
      </w:r>
      <w:r>
        <w:tab/>
      </w:r>
      <w:r>
        <w:fldChar w:fldCharType="begin"/>
      </w:r>
      <w:r>
        <w:instrText xml:space="preserve"> PAGEREF _Toc25173 </w:instrText>
      </w:r>
      <w:r>
        <w:fldChar w:fldCharType="separate"/>
      </w:r>
      <w:r>
        <w:t>49</w:t>
      </w:r>
      <w:r>
        <w:fldChar w:fldCharType="end"/>
      </w:r>
      <w:r>
        <w:fldChar w:fldCharType="end"/>
      </w:r>
    </w:p>
    <w:p>
      <w:pPr>
        <w:pStyle w:val="12"/>
        <w:tabs>
          <w:tab w:val="right" w:leader="dot" w:pos="8306"/>
        </w:tabs>
      </w:pPr>
      <w:r>
        <w:fldChar w:fldCharType="begin"/>
      </w:r>
      <w:r>
        <w:instrText xml:space="preserve"> HYPERLINK \l _Toc543 </w:instrText>
      </w:r>
      <w:r>
        <w:fldChar w:fldCharType="separate"/>
      </w:r>
      <w:r>
        <w:rPr>
          <w:rFonts w:hint="default"/>
        </w:rPr>
        <w:t xml:space="preserve">6. </w:t>
      </w:r>
      <w:r>
        <w:rPr>
          <w:rFonts w:hint="eastAsia"/>
        </w:rPr>
        <w:t>收付费信息</w:t>
      </w:r>
      <w:r>
        <w:tab/>
      </w:r>
      <w:r>
        <w:fldChar w:fldCharType="begin"/>
      </w:r>
      <w:r>
        <w:instrText xml:space="preserve"> PAGEREF _Toc543 </w:instrText>
      </w:r>
      <w:r>
        <w:fldChar w:fldCharType="separate"/>
      </w:r>
      <w:r>
        <w:t>66</w:t>
      </w:r>
      <w:r>
        <w:fldChar w:fldCharType="end"/>
      </w:r>
      <w:r>
        <w:fldChar w:fldCharType="end"/>
      </w:r>
    </w:p>
    <w:p>
      <w:pPr>
        <w:pStyle w:val="12"/>
        <w:tabs>
          <w:tab w:val="right" w:leader="dot" w:pos="8306"/>
        </w:tabs>
      </w:pPr>
      <w:r>
        <w:fldChar w:fldCharType="begin"/>
      </w:r>
      <w:r>
        <w:instrText xml:space="preserve"> HYPERLINK \l _Toc31467 </w:instrText>
      </w:r>
      <w:r>
        <w:fldChar w:fldCharType="separate"/>
      </w:r>
      <w:r>
        <w:rPr>
          <w:rFonts w:hint="default"/>
        </w:rPr>
        <w:t xml:space="preserve">7. </w:t>
      </w:r>
      <w:r>
        <w:rPr>
          <w:rFonts w:hint="eastAsia"/>
        </w:rPr>
        <w:t>再保险信息</w:t>
      </w:r>
      <w:r>
        <w:tab/>
      </w:r>
      <w:r>
        <w:fldChar w:fldCharType="begin"/>
      </w:r>
      <w:r>
        <w:instrText xml:space="preserve"> PAGEREF _Toc31467 </w:instrText>
      </w:r>
      <w:r>
        <w:fldChar w:fldCharType="separate"/>
      </w:r>
      <w:r>
        <w:t>71</w:t>
      </w:r>
      <w:r>
        <w:fldChar w:fldCharType="end"/>
      </w:r>
      <w:r>
        <w:fldChar w:fldCharType="end"/>
      </w:r>
    </w:p>
    <w:p>
      <w:pPr>
        <w:pStyle w:val="12"/>
        <w:tabs>
          <w:tab w:val="right" w:leader="dot" w:pos="8306"/>
        </w:tabs>
      </w:pPr>
      <w:r>
        <w:fldChar w:fldCharType="begin"/>
      </w:r>
      <w:r>
        <w:instrText xml:space="preserve"> HYPERLINK \l _Toc31676 </w:instrText>
      </w:r>
      <w:r>
        <w:fldChar w:fldCharType="separate"/>
      </w:r>
      <w:r>
        <w:rPr>
          <w:rFonts w:hint="default"/>
        </w:rPr>
        <w:t xml:space="preserve">8. </w:t>
      </w:r>
      <w:r>
        <w:rPr>
          <w:rFonts w:hint="eastAsia"/>
        </w:rPr>
        <w:t>理赔基础信息</w:t>
      </w:r>
      <w:r>
        <w:tab/>
      </w:r>
      <w:r>
        <w:fldChar w:fldCharType="begin"/>
      </w:r>
      <w:r>
        <w:instrText xml:space="preserve"> PAGEREF _Toc31676 </w:instrText>
      </w:r>
      <w:r>
        <w:fldChar w:fldCharType="separate"/>
      </w:r>
      <w:r>
        <w:t>81</w:t>
      </w:r>
      <w:r>
        <w:fldChar w:fldCharType="end"/>
      </w:r>
      <w:r>
        <w:fldChar w:fldCharType="end"/>
      </w:r>
    </w:p>
    <w:p>
      <w:pPr>
        <w:pStyle w:val="12"/>
        <w:tabs>
          <w:tab w:val="right" w:leader="dot" w:pos="8306"/>
        </w:tabs>
      </w:pPr>
      <w:r>
        <w:fldChar w:fldCharType="begin"/>
      </w:r>
      <w:r>
        <w:instrText xml:space="preserve"> HYPERLINK \l _Toc7324 </w:instrText>
      </w:r>
      <w:r>
        <w:fldChar w:fldCharType="separate"/>
      </w:r>
      <w:r>
        <w:rPr>
          <w:rFonts w:hint="default"/>
        </w:rPr>
        <w:t xml:space="preserve">9. </w:t>
      </w:r>
      <w:r>
        <w:rPr>
          <w:rFonts w:hint="eastAsia"/>
        </w:rPr>
        <w:t>服务信息</w:t>
      </w:r>
      <w:r>
        <w:tab/>
      </w:r>
      <w:r>
        <w:fldChar w:fldCharType="begin"/>
      </w:r>
      <w:r>
        <w:instrText xml:space="preserve"> PAGEREF _Toc7324 </w:instrText>
      </w:r>
      <w:r>
        <w:fldChar w:fldCharType="separate"/>
      </w:r>
      <w:r>
        <w:t>92</w:t>
      </w:r>
      <w:r>
        <w:fldChar w:fldCharType="end"/>
      </w:r>
      <w:r>
        <w:fldChar w:fldCharType="end"/>
      </w:r>
    </w:p>
    <w:p>
      <w:pPr>
        <w:pStyle w:val="12"/>
        <w:tabs>
          <w:tab w:val="right" w:leader="dot" w:pos="8306"/>
        </w:tabs>
      </w:pPr>
      <w:r>
        <w:fldChar w:fldCharType="begin"/>
      </w:r>
      <w:r>
        <w:instrText xml:space="preserve"> HYPERLINK \l _Toc24883 </w:instrText>
      </w:r>
      <w:r>
        <w:fldChar w:fldCharType="separate"/>
      </w:r>
      <w:r>
        <w:rPr>
          <w:rFonts w:hint="default"/>
        </w:rPr>
        <w:t xml:space="preserve">10. </w:t>
      </w:r>
      <w:r>
        <w:rPr>
          <w:rFonts w:hint="eastAsia"/>
        </w:rPr>
        <w:t>车险专项信息</w:t>
      </w:r>
      <w:r>
        <w:tab/>
      </w:r>
      <w:r>
        <w:fldChar w:fldCharType="begin"/>
      </w:r>
      <w:r>
        <w:instrText xml:space="preserve"> PAGEREF _Toc24883 </w:instrText>
      </w:r>
      <w:r>
        <w:fldChar w:fldCharType="separate"/>
      </w:r>
      <w:r>
        <w:t>96</w:t>
      </w:r>
      <w:r>
        <w:fldChar w:fldCharType="end"/>
      </w:r>
      <w:r>
        <w:fldChar w:fldCharType="end"/>
      </w:r>
    </w:p>
    <w:p>
      <w:pPr>
        <w:pStyle w:val="12"/>
        <w:tabs>
          <w:tab w:val="right" w:leader="dot" w:pos="8306"/>
        </w:tabs>
      </w:pPr>
      <w:r>
        <w:fldChar w:fldCharType="begin"/>
      </w:r>
      <w:r>
        <w:instrText xml:space="preserve"> HYPERLINK \l _Toc10805 </w:instrText>
      </w:r>
      <w:r>
        <w:fldChar w:fldCharType="separate"/>
      </w:r>
      <w:r>
        <w:rPr>
          <w:rFonts w:hint="default"/>
        </w:rPr>
        <w:t xml:space="preserve">11. </w:t>
      </w:r>
      <w:r>
        <w:rPr>
          <w:rFonts w:hint="eastAsia"/>
        </w:rPr>
        <w:t>农险专项信息</w:t>
      </w:r>
      <w:r>
        <w:tab/>
      </w:r>
      <w:r>
        <w:fldChar w:fldCharType="begin"/>
      </w:r>
      <w:r>
        <w:instrText xml:space="preserve"> PAGEREF _Toc10805 </w:instrText>
      </w:r>
      <w:r>
        <w:fldChar w:fldCharType="separate"/>
      </w:r>
      <w:r>
        <w:t>114</w:t>
      </w:r>
      <w:r>
        <w:fldChar w:fldCharType="end"/>
      </w:r>
      <w:r>
        <w:fldChar w:fldCharType="end"/>
      </w:r>
    </w:p>
    <w:p>
      <w:pPr>
        <w:pStyle w:val="12"/>
        <w:tabs>
          <w:tab w:val="right" w:leader="dot" w:pos="8306"/>
        </w:tabs>
      </w:pPr>
      <w:r>
        <w:fldChar w:fldCharType="begin"/>
      </w:r>
      <w:r>
        <w:instrText xml:space="preserve"> HYPERLINK \l _Toc9613 </w:instrText>
      </w:r>
      <w:r>
        <w:fldChar w:fldCharType="separate"/>
      </w:r>
      <w:r>
        <w:rPr>
          <w:rFonts w:hint="default"/>
        </w:rPr>
        <w:t xml:space="preserve">12. </w:t>
      </w:r>
      <w:r>
        <w:rPr>
          <w:rFonts w:hint="eastAsia"/>
        </w:rPr>
        <w:t>家财险专项信息</w:t>
      </w:r>
      <w:r>
        <w:tab/>
      </w:r>
      <w:r>
        <w:fldChar w:fldCharType="begin"/>
      </w:r>
      <w:r>
        <w:instrText xml:space="preserve"> PAGEREF _Toc9613 </w:instrText>
      </w:r>
      <w:r>
        <w:fldChar w:fldCharType="separate"/>
      </w:r>
      <w:r>
        <w:t>135</w:t>
      </w:r>
      <w:r>
        <w:fldChar w:fldCharType="end"/>
      </w:r>
      <w:r>
        <w:fldChar w:fldCharType="end"/>
      </w:r>
    </w:p>
    <w:p>
      <w:pPr>
        <w:pStyle w:val="12"/>
        <w:tabs>
          <w:tab w:val="right" w:leader="dot" w:pos="8306"/>
        </w:tabs>
      </w:pPr>
      <w:r>
        <w:fldChar w:fldCharType="begin"/>
      </w:r>
      <w:r>
        <w:instrText xml:space="preserve"> HYPERLINK \l _Toc8290 </w:instrText>
      </w:r>
      <w:r>
        <w:fldChar w:fldCharType="separate"/>
      </w:r>
      <w:r>
        <w:rPr>
          <w:rFonts w:hint="default"/>
        </w:rPr>
        <w:t xml:space="preserve">13. </w:t>
      </w:r>
      <w:r>
        <w:rPr>
          <w:rFonts w:hint="eastAsia"/>
        </w:rPr>
        <w:t>企财险专项信息</w:t>
      </w:r>
      <w:r>
        <w:tab/>
      </w:r>
      <w:r>
        <w:fldChar w:fldCharType="begin"/>
      </w:r>
      <w:r>
        <w:instrText xml:space="preserve"> PAGEREF _Toc8290 </w:instrText>
      </w:r>
      <w:r>
        <w:fldChar w:fldCharType="separate"/>
      </w:r>
      <w:r>
        <w:t>139</w:t>
      </w:r>
      <w:r>
        <w:fldChar w:fldCharType="end"/>
      </w:r>
      <w:r>
        <w:fldChar w:fldCharType="end"/>
      </w:r>
    </w:p>
    <w:p>
      <w:pPr>
        <w:pStyle w:val="12"/>
        <w:tabs>
          <w:tab w:val="right" w:leader="dot" w:pos="8306"/>
        </w:tabs>
      </w:pPr>
      <w:r>
        <w:fldChar w:fldCharType="begin"/>
      </w:r>
      <w:r>
        <w:instrText xml:space="preserve"> HYPERLINK \l _Toc22902 </w:instrText>
      </w:r>
      <w:r>
        <w:fldChar w:fldCharType="separate"/>
      </w:r>
      <w:r>
        <w:rPr>
          <w:rFonts w:hint="default"/>
        </w:rPr>
        <w:t xml:space="preserve">14. </w:t>
      </w:r>
      <w:r>
        <w:rPr>
          <w:rFonts w:hint="eastAsia"/>
        </w:rPr>
        <w:t>责任险专项信息</w:t>
      </w:r>
      <w:r>
        <w:tab/>
      </w:r>
      <w:r>
        <w:fldChar w:fldCharType="begin"/>
      </w:r>
      <w:r>
        <w:instrText xml:space="preserve"> PAGEREF _Toc22902 </w:instrText>
      </w:r>
      <w:r>
        <w:fldChar w:fldCharType="separate"/>
      </w:r>
      <w:r>
        <w:t>146</w:t>
      </w:r>
      <w:r>
        <w:fldChar w:fldCharType="end"/>
      </w:r>
      <w:r>
        <w:fldChar w:fldCharType="end"/>
      </w:r>
    </w:p>
    <w:p>
      <w:pPr>
        <w:pStyle w:val="12"/>
        <w:tabs>
          <w:tab w:val="right" w:leader="dot" w:pos="8306"/>
        </w:tabs>
      </w:pPr>
      <w:r>
        <w:fldChar w:fldCharType="begin"/>
      </w:r>
      <w:r>
        <w:instrText xml:space="preserve"> HYPERLINK \l _Toc8428 </w:instrText>
      </w:r>
      <w:r>
        <w:fldChar w:fldCharType="separate"/>
      </w:r>
      <w:r>
        <w:rPr>
          <w:rFonts w:hint="default"/>
        </w:rPr>
        <w:t xml:space="preserve">15. </w:t>
      </w:r>
      <w:r>
        <w:rPr>
          <w:rFonts w:hint="eastAsia"/>
        </w:rPr>
        <w:t>信用险专项信息</w:t>
      </w:r>
      <w:r>
        <w:tab/>
      </w:r>
      <w:r>
        <w:fldChar w:fldCharType="begin"/>
      </w:r>
      <w:r>
        <w:instrText xml:space="preserve"> PAGEREF _Toc8428 </w:instrText>
      </w:r>
      <w:r>
        <w:fldChar w:fldCharType="separate"/>
      </w:r>
      <w:r>
        <w:t>189</w:t>
      </w:r>
      <w:r>
        <w:fldChar w:fldCharType="end"/>
      </w:r>
      <w:r>
        <w:fldChar w:fldCharType="end"/>
      </w:r>
    </w:p>
    <w:p>
      <w:pPr>
        <w:pStyle w:val="12"/>
        <w:tabs>
          <w:tab w:val="right" w:leader="dot" w:pos="8306"/>
        </w:tabs>
      </w:pPr>
      <w:r>
        <w:fldChar w:fldCharType="begin"/>
      </w:r>
      <w:r>
        <w:instrText xml:space="preserve"> HYPERLINK \l _Toc25641 </w:instrText>
      </w:r>
      <w:r>
        <w:fldChar w:fldCharType="separate"/>
      </w:r>
      <w:r>
        <w:rPr>
          <w:rFonts w:hint="default"/>
        </w:rPr>
        <w:t xml:space="preserve">16. </w:t>
      </w:r>
      <w:r>
        <w:rPr>
          <w:rFonts w:hint="eastAsia"/>
        </w:rPr>
        <w:t>保证险专项信息</w:t>
      </w:r>
      <w:r>
        <w:tab/>
      </w:r>
      <w:r>
        <w:fldChar w:fldCharType="begin"/>
      </w:r>
      <w:r>
        <w:instrText xml:space="preserve"> PAGEREF _Toc25641 </w:instrText>
      </w:r>
      <w:r>
        <w:fldChar w:fldCharType="separate"/>
      </w:r>
      <w:r>
        <w:t>201</w:t>
      </w:r>
      <w:r>
        <w:fldChar w:fldCharType="end"/>
      </w:r>
      <w:r>
        <w:fldChar w:fldCharType="end"/>
      </w:r>
    </w:p>
    <w:p>
      <w:pPr>
        <w:pStyle w:val="12"/>
        <w:tabs>
          <w:tab w:val="right" w:leader="dot" w:pos="8306"/>
        </w:tabs>
      </w:pPr>
      <w:r>
        <w:fldChar w:fldCharType="begin"/>
      </w:r>
      <w:r>
        <w:instrText xml:space="preserve"> HYPERLINK \l _Toc14471 </w:instrText>
      </w:r>
      <w:r>
        <w:fldChar w:fldCharType="separate"/>
      </w:r>
      <w:r>
        <w:rPr>
          <w:rFonts w:hint="default"/>
        </w:rPr>
        <w:t xml:space="preserve">17. </w:t>
      </w:r>
      <w:r>
        <w:rPr>
          <w:rFonts w:hint="eastAsia"/>
        </w:rPr>
        <w:t>货运险专项信息</w:t>
      </w:r>
      <w:r>
        <w:tab/>
      </w:r>
      <w:r>
        <w:fldChar w:fldCharType="begin"/>
      </w:r>
      <w:r>
        <w:instrText xml:space="preserve"> PAGEREF _Toc14471 </w:instrText>
      </w:r>
      <w:r>
        <w:fldChar w:fldCharType="separate"/>
      </w:r>
      <w:r>
        <w:t>212</w:t>
      </w:r>
      <w:r>
        <w:fldChar w:fldCharType="end"/>
      </w:r>
      <w:r>
        <w:fldChar w:fldCharType="end"/>
      </w:r>
    </w:p>
    <w:p>
      <w:pPr>
        <w:pStyle w:val="12"/>
        <w:tabs>
          <w:tab w:val="right" w:leader="dot" w:pos="8306"/>
        </w:tabs>
      </w:pPr>
      <w:r>
        <w:fldChar w:fldCharType="begin"/>
      </w:r>
      <w:r>
        <w:instrText xml:space="preserve"> HYPERLINK \l _Toc24669 </w:instrText>
      </w:r>
      <w:r>
        <w:fldChar w:fldCharType="separate"/>
      </w:r>
      <w:r>
        <w:rPr>
          <w:rFonts w:hint="default"/>
        </w:rPr>
        <w:t xml:space="preserve">18. </w:t>
      </w:r>
      <w:r>
        <w:rPr>
          <w:rFonts w:hint="eastAsia"/>
        </w:rPr>
        <w:t>船舶险专项信息</w:t>
      </w:r>
      <w:r>
        <w:tab/>
      </w:r>
      <w:r>
        <w:fldChar w:fldCharType="begin"/>
      </w:r>
      <w:r>
        <w:instrText xml:space="preserve"> PAGEREF _Toc24669 </w:instrText>
      </w:r>
      <w:r>
        <w:fldChar w:fldCharType="separate"/>
      </w:r>
      <w:r>
        <w:t>215</w:t>
      </w:r>
      <w:r>
        <w:fldChar w:fldCharType="end"/>
      </w:r>
      <w:r>
        <w:fldChar w:fldCharType="end"/>
      </w:r>
    </w:p>
    <w:p>
      <w:pPr>
        <w:pStyle w:val="12"/>
        <w:tabs>
          <w:tab w:val="right" w:leader="dot" w:pos="8306"/>
        </w:tabs>
      </w:pPr>
      <w:r>
        <w:fldChar w:fldCharType="begin"/>
      </w:r>
      <w:r>
        <w:instrText xml:space="preserve"> HYPERLINK \l _Toc15489 </w:instrText>
      </w:r>
      <w:r>
        <w:fldChar w:fldCharType="separate"/>
      </w:r>
      <w:r>
        <w:rPr>
          <w:rFonts w:hint="default"/>
        </w:rPr>
        <w:t xml:space="preserve">19. </w:t>
      </w:r>
      <w:r>
        <w:rPr>
          <w:rFonts w:hint="eastAsia"/>
        </w:rPr>
        <w:t>工程险专项信息</w:t>
      </w:r>
      <w:r>
        <w:tab/>
      </w:r>
      <w:r>
        <w:fldChar w:fldCharType="begin"/>
      </w:r>
      <w:r>
        <w:instrText xml:space="preserve"> PAGEREF _Toc15489 </w:instrText>
      </w:r>
      <w:r>
        <w:fldChar w:fldCharType="separate"/>
      </w:r>
      <w:r>
        <w:t>220</w:t>
      </w:r>
      <w:r>
        <w:fldChar w:fldCharType="end"/>
      </w:r>
      <w:r>
        <w:fldChar w:fldCharType="end"/>
      </w:r>
    </w:p>
    <w:p>
      <w:pPr>
        <w:pStyle w:val="12"/>
        <w:tabs>
          <w:tab w:val="right" w:leader="dot" w:pos="8306"/>
        </w:tabs>
      </w:pPr>
      <w:r>
        <w:fldChar w:fldCharType="begin"/>
      </w:r>
      <w:r>
        <w:instrText xml:space="preserve"> HYPERLINK \l _Toc9680 </w:instrText>
      </w:r>
      <w:r>
        <w:fldChar w:fldCharType="separate"/>
      </w:r>
      <w:r>
        <w:rPr>
          <w:rFonts w:hint="default"/>
        </w:rPr>
        <w:t xml:space="preserve">20. </w:t>
      </w:r>
      <w:r>
        <w:rPr>
          <w:rFonts w:hint="eastAsia"/>
        </w:rPr>
        <w:t>特殊风险专项信息</w:t>
      </w:r>
      <w:r>
        <w:tab/>
      </w:r>
      <w:r>
        <w:fldChar w:fldCharType="begin"/>
      </w:r>
      <w:r>
        <w:instrText xml:space="preserve"> PAGEREF _Toc9680 </w:instrText>
      </w:r>
      <w:r>
        <w:fldChar w:fldCharType="separate"/>
      </w:r>
      <w:r>
        <w:t>224</w:t>
      </w:r>
      <w:r>
        <w:fldChar w:fldCharType="end"/>
      </w:r>
      <w:r>
        <w:fldChar w:fldCharType="end"/>
      </w:r>
    </w:p>
    <w:p>
      <w:pPr>
        <w:pStyle w:val="12"/>
        <w:tabs>
          <w:tab w:val="right" w:leader="dot" w:pos="8306"/>
        </w:tabs>
      </w:pPr>
      <w:r>
        <w:fldChar w:fldCharType="begin"/>
      </w:r>
      <w:r>
        <w:instrText xml:space="preserve"> HYPERLINK \l _Toc18076 </w:instrText>
      </w:r>
      <w:r>
        <w:fldChar w:fldCharType="separate"/>
      </w:r>
      <w:r>
        <w:rPr>
          <w:rFonts w:hint="default"/>
        </w:rPr>
        <w:t xml:space="preserve">21. </w:t>
      </w:r>
      <w:r>
        <w:rPr>
          <w:rFonts w:hint="eastAsia"/>
        </w:rPr>
        <w:t>投资业务信息</w:t>
      </w:r>
      <w:r>
        <w:tab/>
      </w:r>
      <w:r>
        <w:fldChar w:fldCharType="begin"/>
      </w:r>
      <w:r>
        <w:instrText xml:space="preserve"> PAGEREF _Toc18076 </w:instrText>
      </w:r>
      <w:r>
        <w:fldChar w:fldCharType="separate"/>
      </w:r>
      <w:r>
        <w:t>234</w:t>
      </w:r>
      <w:r>
        <w:fldChar w:fldCharType="end"/>
      </w:r>
      <w:r>
        <w:fldChar w:fldCharType="end"/>
      </w:r>
    </w:p>
    <w:p>
      <w:pPr>
        <w:pStyle w:val="12"/>
        <w:tabs>
          <w:tab w:val="right" w:leader="dot" w:pos="8306"/>
        </w:tabs>
      </w:pPr>
      <w:r>
        <w:fldChar w:fldCharType="begin"/>
      </w:r>
      <w:r>
        <w:instrText xml:space="preserve"> HYPERLINK \l _Toc3132 </w:instrText>
      </w:r>
      <w:r>
        <w:fldChar w:fldCharType="separate"/>
      </w:r>
      <w:r>
        <w:rPr>
          <w:rFonts w:hint="default"/>
        </w:rPr>
        <w:t xml:space="preserve">22. </w:t>
      </w:r>
      <w:r>
        <w:rPr>
          <w:rFonts w:hint="eastAsia"/>
        </w:rPr>
        <w:t>关联交易信息</w:t>
      </w:r>
      <w:r>
        <w:tab/>
      </w:r>
      <w:r>
        <w:fldChar w:fldCharType="begin"/>
      </w:r>
      <w:r>
        <w:instrText xml:space="preserve"> PAGEREF _Toc3132 </w:instrText>
      </w:r>
      <w:r>
        <w:fldChar w:fldCharType="separate"/>
      </w:r>
      <w:r>
        <w:t>245</w:t>
      </w:r>
      <w:r>
        <w:fldChar w:fldCharType="end"/>
      </w:r>
      <w:r>
        <w:fldChar w:fldCharType="end"/>
      </w:r>
    </w:p>
    <w:p>
      <w:pPr>
        <w:pStyle w:val="12"/>
        <w:tabs>
          <w:tab w:val="right" w:leader="dot" w:pos="8306"/>
        </w:tabs>
      </w:pPr>
      <w:r>
        <w:fldChar w:fldCharType="begin"/>
      </w:r>
      <w:r>
        <w:instrText xml:space="preserve"> HYPERLINK \l _Toc18628 </w:instrText>
      </w:r>
      <w:r>
        <w:fldChar w:fldCharType="separate"/>
      </w:r>
      <w:r>
        <w:rPr>
          <w:rFonts w:hint="default"/>
        </w:rPr>
        <w:t xml:space="preserve">23. </w:t>
      </w:r>
      <w:r>
        <w:rPr>
          <w:rFonts w:hint="eastAsia"/>
        </w:rPr>
        <w:t>意外健康险专项信息</w:t>
      </w:r>
      <w:r>
        <w:tab/>
      </w:r>
      <w:r>
        <w:fldChar w:fldCharType="begin"/>
      </w:r>
      <w:r>
        <w:instrText xml:space="preserve"> PAGEREF _Toc18628 </w:instrText>
      </w:r>
      <w:r>
        <w:fldChar w:fldCharType="separate"/>
      </w:r>
      <w:r>
        <w:t>260</w:t>
      </w:r>
      <w:r>
        <w:fldChar w:fldCharType="end"/>
      </w:r>
      <w:r>
        <w:fldChar w:fldCharType="end"/>
      </w:r>
    </w:p>
    <w:p>
      <w:pPr>
        <w:pStyle w:val="17"/>
        <w:tabs>
          <w:tab w:val="right" w:leader="dot" w:pos="8306"/>
        </w:tabs>
      </w:pPr>
      <w:r>
        <w:fldChar w:fldCharType="begin"/>
      </w:r>
      <w:r>
        <w:instrText xml:space="preserve"> HYPERLINK \l _Toc6819 </w:instrText>
      </w:r>
      <w:r>
        <w:fldChar w:fldCharType="separate"/>
      </w:r>
      <w:r>
        <w:t xml:space="preserve">二、 </w:t>
      </w:r>
      <w:r>
        <w:rPr>
          <w:rFonts w:hint="eastAsia"/>
        </w:rPr>
        <w:t>数据元</w:t>
      </w:r>
      <w:r>
        <w:tab/>
      </w:r>
      <w:r>
        <w:fldChar w:fldCharType="begin"/>
      </w:r>
      <w:r>
        <w:instrText xml:space="preserve"> PAGEREF _Toc6819 </w:instrText>
      </w:r>
      <w:r>
        <w:fldChar w:fldCharType="separate"/>
      </w:r>
      <w:r>
        <w:t>262</w:t>
      </w:r>
      <w:r>
        <w:fldChar w:fldCharType="end"/>
      </w:r>
      <w:r>
        <w:fldChar w:fldCharType="end"/>
      </w:r>
    </w:p>
    <w:p>
      <w:pPr>
        <w:pStyle w:val="20"/>
        <w:tabs>
          <w:tab w:val="right" w:leader="dot" w:pos="8306"/>
        </w:tabs>
      </w:pPr>
      <w:r>
        <w:fldChar w:fldCharType="begin"/>
      </w:r>
      <w:r>
        <w:instrText xml:space="preserve"> HYPERLINK \l _Toc16271 </w:instrText>
      </w:r>
      <w:r>
        <w:fldChar w:fldCharType="separate"/>
      </w:r>
      <w:r>
        <w:rPr>
          <w:rFonts w:hint="eastAsia" w:ascii="楷体_GB2312" w:hAnsi="楷体" w:eastAsia="楷体_GB2312"/>
        </w:rPr>
        <w:t xml:space="preserve">(一) </w:t>
      </w:r>
      <w:r>
        <w:rPr>
          <w:rFonts w:hint="eastAsia"/>
        </w:rPr>
        <w:t>数据元描述规则</w:t>
      </w:r>
      <w:r>
        <w:tab/>
      </w:r>
      <w:r>
        <w:fldChar w:fldCharType="begin"/>
      </w:r>
      <w:r>
        <w:instrText xml:space="preserve"> PAGEREF _Toc16271 </w:instrText>
      </w:r>
      <w:r>
        <w:fldChar w:fldCharType="separate"/>
      </w:r>
      <w:r>
        <w:t>262</w:t>
      </w:r>
      <w:r>
        <w:fldChar w:fldCharType="end"/>
      </w:r>
      <w:r>
        <w:fldChar w:fldCharType="end"/>
      </w:r>
    </w:p>
    <w:p>
      <w:pPr>
        <w:pStyle w:val="20"/>
        <w:tabs>
          <w:tab w:val="right" w:leader="dot" w:pos="8306"/>
        </w:tabs>
      </w:pPr>
      <w:r>
        <w:fldChar w:fldCharType="begin"/>
      </w:r>
      <w:r>
        <w:instrText xml:space="preserve"> HYPERLINK \l _Toc11870 </w:instrText>
      </w:r>
      <w:r>
        <w:fldChar w:fldCharType="separate"/>
      </w:r>
      <w:r>
        <w:rPr>
          <w:rFonts w:hint="eastAsia" w:ascii="楷体_GB2312" w:hAnsi="楷体" w:eastAsia="楷体_GB2312"/>
        </w:rPr>
        <w:t xml:space="preserve">(二) </w:t>
      </w:r>
      <w:r>
        <w:rPr>
          <w:rFonts w:hint="eastAsia"/>
        </w:rPr>
        <w:t>数据元细目</w:t>
      </w:r>
      <w:r>
        <w:tab/>
      </w:r>
      <w:r>
        <w:fldChar w:fldCharType="begin"/>
      </w:r>
      <w:r>
        <w:instrText xml:space="preserve"> PAGEREF _Toc11870 </w:instrText>
      </w:r>
      <w:r>
        <w:fldChar w:fldCharType="separate"/>
      </w:r>
      <w:r>
        <w:t>263</w:t>
      </w:r>
      <w:r>
        <w:fldChar w:fldCharType="end"/>
      </w:r>
      <w:r>
        <w:fldChar w:fldCharType="end"/>
      </w:r>
    </w:p>
    <w:p>
      <w:pPr>
        <w:pStyle w:val="12"/>
        <w:tabs>
          <w:tab w:val="right" w:leader="dot" w:pos="8306"/>
        </w:tabs>
      </w:pPr>
      <w:r>
        <w:fldChar w:fldCharType="begin"/>
      </w:r>
      <w:r>
        <w:instrText xml:space="preserve"> HYPERLINK \l _Toc424 </w:instrText>
      </w:r>
      <w:r>
        <w:fldChar w:fldCharType="separate"/>
      </w:r>
      <w:r>
        <w:rPr>
          <w:rFonts w:hint="default"/>
        </w:rPr>
        <w:t xml:space="preserve">1. </w:t>
      </w:r>
      <w:r>
        <w:rPr>
          <w:rFonts w:hint="eastAsia"/>
        </w:rPr>
        <w:t>公共信息</w:t>
      </w:r>
      <w:r>
        <w:tab/>
      </w:r>
      <w:r>
        <w:fldChar w:fldCharType="begin"/>
      </w:r>
      <w:r>
        <w:instrText xml:space="preserve"> PAGEREF _Toc424 </w:instrText>
      </w:r>
      <w:r>
        <w:fldChar w:fldCharType="separate"/>
      </w:r>
      <w:r>
        <w:t>263</w:t>
      </w:r>
      <w:r>
        <w:fldChar w:fldCharType="end"/>
      </w:r>
      <w:r>
        <w:fldChar w:fldCharType="end"/>
      </w:r>
    </w:p>
    <w:p>
      <w:pPr>
        <w:pStyle w:val="12"/>
        <w:tabs>
          <w:tab w:val="right" w:leader="dot" w:pos="8306"/>
        </w:tabs>
      </w:pPr>
      <w:r>
        <w:fldChar w:fldCharType="begin"/>
      </w:r>
      <w:r>
        <w:instrText xml:space="preserve"> HYPERLINK \l _Toc16217 </w:instrText>
      </w:r>
      <w:r>
        <w:fldChar w:fldCharType="separate"/>
      </w:r>
      <w:r>
        <w:rPr>
          <w:rFonts w:hint="default"/>
        </w:rPr>
        <w:t xml:space="preserve">2. </w:t>
      </w:r>
      <w:r>
        <w:rPr>
          <w:rFonts w:hint="eastAsia"/>
        </w:rPr>
        <w:t>财务信息</w:t>
      </w:r>
      <w:r>
        <w:tab/>
      </w:r>
      <w:r>
        <w:fldChar w:fldCharType="begin"/>
      </w:r>
      <w:r>
        <w:instrText xml:space="preserve"> PAGEREF _Toc16217 </w:instrText>
      </w:r>
      <w:r>
        <w:fldChar w:fldCharType="separate"/>
      </w:r>
      <w:r>
        <w:t>268</w:t>
      </w:r>
      <w:r>
        <w:fldChar w:fldCharType="end"/>
      </w:r>
      <w:r>
        <w:fldChar w:fldCharType="end"/>
      </w:r>
    </w:p>
    <w:p>
      <w:pPr>
        <w:pStyle w:val="12"/>
        <w:tabs>
          <w:tab w:val="right" w:leader="dot" w:pos="8306"/>
        </w:tabs>
      </w:pPr>
      <w:r>
        <w:fldChar w:fldCharType="begin"/>
      </w:r>
      <w:r>
        <w:instrText xml:space="preserve"> HYPERLINK \l _Toc23435 </w:instrText>
      </w:r>
      <w:r>
        <w:fldChar w:fldCharType="separate"/>
      </w:r>
      <w:r>
        <w:rPr>
          <w:rFonts w:hint="default"/>
        </w:rPr>
        <w:t xml:space="preserve">3. </w:t>
      </w:r>
      <w:r>
        <w:rPr>
          <w:rFonts w:hint="eastAsia"/>
        </w:rPr>
        <w:t>客户</w:t>
      </w:r>
      <w:r>
        <w:rPr>
          <w:rFonts w:hint="eastAsia"/>
          <w:lang w:eastAsia="zh-Hans"/>
        </w:rPr>
        <w:t>信息</w:t>
      </w:r>
      <w:r>
        <w:tab/>
      </w:r>
      <w:r>
        <w:fldChar w:fldCharType="begin"/>
      </w:r>
      <w:r>
        <w:instrText xml:space="preserve"> PAGEREF _Toc23435 </w:instrText>
      </w:r>
      <w:r>
        <w:fldChar w:fldCharType="separate"/>
      </w:r>
      <w:r>
        <w:t>268</w:t>
      </w:r>
      <w:r>
        <w:fldChar w:fldCharType="end"/>
      </w:r>
      <w:r>
        <w:fldChar w:fldCharType="end"/>
      </w:r>
    </w:p>
    <w:p>
      <w:pPr>
        <w:pStyle w:val="12"/>
        <w:tabs>
          <w:tab w:val="right" w:leader="dot" w:pos="8306"/>
        </w:tabs>
      </w:pPr>
      <w:r>
        <w:fldChar w:fldCharType="begin"/>
      </w:r>
      <w:r>
        <w:instrText xml:space="preserve"> HYPERLINK \l _Toc21333 </w:instrText>
      </w:r>
      <w:r>
        <w:fldChar w:fldCharType="separate"/>
      </w:r>
      <w:r>
        <w:rPr>
          <w:rFonts w:hint="default"/>
        </w:rPr>
        <w:t xml:space="preserve">4. </w:t>
      </w:r>
      <w:r>
        <w:rPr>
          <w:rFonts w:hint="eastAsia"/>
        </w:rPr>
        <w:t>产品信息</w:t>
      </w:r>
      <w:r>
        <w:tab/>
      </w:r>
      <w:r>
        <w:fldChar w:fldCharType="begin"/>
      </w:r>
      <w:r>
        <w:instrText xml:space="preserve"> PAGEREF _Toc21333 </w:instrText>
      </w:r>
      <w:r>
        <w:fldChar w:fldCharType="separate"/>
      </w:r>
      <w:r>
        <w:t>269</w:t>
      </w:r>
      <w:r>
        <w:fldChar w:fldCharType="end"/>
      </w:r>
      <w:r>
        <w:fldChar w:fldCharType="end"/>
      </w:r>
    </w:p>
    <w:p>
      <w:pPr>
        <w:pStyle w:val="12"/>
        <w:tabs>
          <w:tab w:val="right" w:leader="dot" w:pos="8306"/>
        </w:tabs>
      </w:pPr>
      <w:r>
        <w:fldChar w:fldCharType="begin"/>
      </w:r>
      <w:r>
        <w:instrText xml:space="preserve"> HYPERLINK \l _Toc25158 </w:instrText>
      </w:r>
      <w:r>
        <w:fldChar w:fldCharType="separate"/>
      </w:r>
      <w:r>
        <w:rPr>
          <w:rFonts w:hint="default"/>
        </w:rPr>
        <w:t xml:space="preserve">5. </w:t>
      </w:r>
      <w:r>
        <w:rPr>
          <w:rFonts w:hint="eastAsia"/>
        </w:rPr>
        <w:t>保单基础信息</w:t>
      </w:r>
      <w:r>
        <w:tab/>
      </w:r>
      <w:r>
        <w:fldChar w:fldCharType="begin"/>
      </w:r>
      <w:r>
        <w:instrText xml:space="preserve"> PAGEREF _Toc25158 </w:instrText>
      </w:r>
      <w:r>
        <w:fldChar w:fldCharType="separate"/>
      </w:r>
      <w:r>
        <w:t>270</w:t>
      </w:r>
      <w:r>
        <w:fldChar w:fldCharType="end"/>
      </w:r>
      <w:r>
        <w:fldChar w:fldCharType="end"/>
      </w:r>
    </w:p>
    <w:p>
      <w:pPr>
        <w:pStyle w:val="12"/>
        <w:tabs>
          <w:tab w:val="right" w:leader="dot" w:pos="8306"/>
        </w:tabs>
      </w:pPr>
      <w:r>
        <w:fldChar w:fldCharType="begin"/>
      </w:r>
      <w:r>
        <w:instrText xml:space="preserve"> HYPERLINK \l _Toc51 </w:instrText>
      </w:r>
      <w:r>
        <w:fldChar w:fldCharType="separate"/>
      </w:r>
      <w:r>
        <w:rPr>
          <w:rFonts w:hint="default"/>
        </w:rPr>
        <w:t xml:space="preserve">6. </w:t>
      </w:r>
      <w:r>
        <w:rPr>
          <w:rFonts w:hint="eastAsia"/>
        </w:rPr>
        <w:t>收付费信息</w:t>
      </w:r>
      <w:r>
        <w:tab/>
      </w:r>
      <w:r>
        <w:fldChar w:fldCharType="begin"/>
      </w:r>
      <w:r>
        <w:instrText xml:space="preserve"> PAGEREF _Toc51 </w:instrText>
      </w:r>
      <w:r>
        <w:fldChar w:fldCharType="separate"/>
      </w:r>
      <w:r>
        <w:t>271</w:t>
      </w:r>
      <w:r>
        <w:fldChar w:fldCharType="end"/>
      </w:r>
      <w:r>
        <w:fldChar w:fldCharType="end"/>
      </w:r>
    </w:p>
    <w:p>
      <w:pPr>
        <w:pStyle w:val="12"/>
        <w:tabs>
          <w:tab w:val="right" w:leader="dot" w:pos="8306"/>
        </w:tabs>
      </w:pPr>
      <w:r>
        <w:fldChar w:fldCharType="begin"/>
      </w:r>
      <w:r>
        <w:instrText xml:space="preserve"> HYPERLINK \l _Toc32026 </w:instrText>
      </w:r>
      <w:r>
        <w:fldChar w:fldCharType="separate"/>
      </w:r>
      <w:r>
        <w:rPr>
          <w:rFonts w:hint="default"/>
        </w:rPr>
        <w:t xml:space="preserve">7. </w:t>
      </w:r>
      <w:r>
        <w:rPr>
          <w:rFonts w:hint="eastAsia"/>
        </w:rPr>
        <w:t>再保信息</w:t>
      </w:r>
      <w:r>
        <w:tab/>
      </w:r>
      <w:r>
        <w:fldChar w:fldCharType="begin"/>
      </w:r>
      <w:r>
        <w:instrText xml:space="preserve"> PAGEREF _Toc32026 </w:instrText>
      </w:r>
      <w:r>
        <w:fldChar w:fldCharType="separate"/>
      </w:r>
      <w:r>
        <w:t>271</w:t>
      </w:r>
      <w:r>
        <w:fldChar w:fldCharType="end"/>
      </w:r>
      <w:r>
        <w:fldChar w:fldCharType="end"/>
      </w:r>
    </w:p>
    <w:p>
      <w:pPr>
        <w:pStyle w:val="12"/>
        <w:tabs>
          <w:tab w:val="right" w:leader="dot" w:pos="8306"/>
        </w:tabs>
      </w:pPr>
      <w:r>
        <w:fldChar w:fldCharType="begin"/>
      </w:r>
      <w:r>
        <w:instrText xml:space="preserve"> HYPERLINK \l _Toc7567 </w:instrText>
      </w:r>
      <w:r>
        <w:fldChar w:fldCharType="separate"/>
      </w:r>
      <w:r>
        <w:rPr>
          <w:rFonts w:hint="default"/>
        </w:rPr>
        <w:t xml:space="preserve">8. </w:t>
      </w:r>
      <w:r>
        <w:rPr>
          <w:rFonts w:hint="eastAsia"/>
        </w:rPr>
        <w:t>理赔信息</w:t>
      </w:r>
      <w:r>
        <w:tab/>
      </w:r>
      <w:r>
        <w:fldChar w:fldCharType="begin"/>
      </w:r>
      <w:r>
        <w:instrText xml:space="preserve"> PAGEREF _Toc7567 </w:instrText>
      </w:r>
      <w:r>
        <w:fldChar w:fldCharType="separate"/>
      </w:r>
      <w:r>
        <w:t>272</w:t>
      </w:r>
      <w:r>
        <w:fldChar w:fldCharType="end"/>
      </w:r>
      <w:r>
        <w:fldChar w:fldCharType="end"/>
      </w:r>
    </w:p>
    <w:p>
      <w:pPr>
        <w:pStyle w:val="12"/>
        <w:tabs>
          <w:tab w:val="right" w:leader="dot" w:pos="8306"/>
        </w:tabs>
      </w:pPr>
      <w:r>
        <w:fldChar w:fldCharType="begin"/>
      </w:r>
      <w:r>
        <w:instrText xml:space="preserve"> HYPERLINK \l _Toc25893 </w:instrText>
      </w:r>
      <w:r>
        <w:fldChar w:fldCharType="separate"/>
      </w:r>
      <w:r>
        <w:rPr>
          <w:rFonts w:hint="default"/>
        </w:rPr>
        <w:t xml:space="preserve">9. </w:t>
      </w:r>
      <w:r>
        <w:rPr>
          <w:rFonts w:hint="eastAsia"/>
        </w:rPr>
        <w:t>服务信息</w:t>
      </w:r>
      <w:r>
        <w:tab/>
      </w:r>
      <w:r>
        <w:fldChar w:fldCharType="begin"/>
      </w:r>
      <w:r>
        <w:instrText xml:space="preserve"> PAGEREF _Toc25893 </w:instrText>
      </w:r>
      <w:r>
        <w:fldChar w:fldCharType="separate"/>
      </w:r>
      <w:r>
        <w:t>273</w:t>
      </w:r>
      <w:r>
        <w:fldChar w:fldCharType="end"/>
      </w:r>
      <w:r>
        <w:fldChar w:fldCharType="end"/>
      </w:r>
    </w:p>
    <w:p>
      <w:pPr>
        <w:pStyle w:val="12"/>
        <w:tabs>
          <w:tab w:val="right" w:leader="dot" w:pos="8306"/>
        </w:tabs>
      </w:pPr>
      <w:r>
        <w:fldChar w:fldCharType="begin"/>
      </w:r>
      <w:r>
        <w:instrText xml:space="preserve"> HYPERLINK \l _Toc2098 </w:instrText>
      </w:r>
      <w:r>
        <w:fldChar w:fldCharType="separate"/>
      </w:r>
      <w:r>
        <w:rPr>
          <w:rFonts w:hint="default"/>
        </w:rPr>
        <w:t xml:space="preserve">10. </w:t>
      </w:r>
      <w:r>
        <w:rPr>
          <w:rFonts w:hint="eastAsia"/>
        </w:rPr>
        <w:t>车险专项信息</w:t>
      </w:r>
      <w:r>
        <w:tab/>
      </w:r>
      <w:r>
        <w:fldChar w:fldCharType="begin"/>
      </w:r>
      <w:r>
        <w:instrText xml:space="preserve"> PAGEREF _Toc2098 </w:instrText>
      </w:r>
      <w:r>
        <w:fldChar w:fldCharType="separate"/>
      </w:r>
      <w:r>
        <w:t>273</w:t>
      </w:r>
      <w:r>
        <w:fldChar w:fldCharType="end"/>
      </w:r>
      <w:r>
        <w:fldChar w:fldCharType="end"/>
      </w:r>
    </w:p>
    <w:p>
      <w:pPr>
        <w:pStyle w:val="12"/>
        <w:tabs>
          <w:tab w:val="right" w:leader="dot" w:pos="8306"/>
        </w:tabs>
      </w:pPr>
      <w:r>
        <w:fldChar w:fldCharType="begin"/>
      </w:r>
      <w:r>
        <w:instrText xml:space="preserve"> HYPERLINK \l _Toc5005 </w:instrText>
      </w:r>
      <w:r>
        <w:fldChar w:fldCharType="separate"/>
      </w:r>
      <w:r>
        <w:rPr>
          <w:rFonts w:hint="default"/>
        </w:rPr>
        <w:t xml:space="preserve">11. </w:t>
      </w:r>
      <w:r>
        <w:rPr>
          <w:rFonts w:hint="eastAsia"/>
        </w:rPr>
        <w:t>农险专项信息</w:t>
      </w:r>
      <w:r>
        <w:tab/>
      </w:r>
      <w:r>
        <w:fldChar w:fldCharType="begin"/>
      </w:r>
      <w:r>
        <w:instrText xml:space="preserve"> PAGEREF _Toc5005 </w:instrText>
      </w:r>
      <w:r>
        <w:fldChar w:fldCharType="separate"/>
      </w:r>
      <w:r>
        <w:t>275</w:t>
      </w:r>
      <w:r>
        <w:fldChar w:fldCharType="end"/>
      </w:r>
      <w:r>
        <w:fldChar w:fldCharType="end"/>
      </w:r>
    </w:p>
    <w:p>
      <w:pPr>
        <w:pStyle w:val="12"/>
        <w:tabs>
          <w:tab w:val="right" w:leader="dot" w:pos="8306"/>
        </w:tabs>
      </w:pPr>
      <w:r>
        <w:fldChar w:fldCharType="begin"/>
      </w:r>
      <w:r>
        <w:instrText xml:space="preserve"> HYPERLINK \l _Toc11818 </w:instrText>
      </w:r>
      <w:r>
        <w:fldChar w:fldCharType="separate"/>
      </w:r>
      <w:r>
        <w:rPr>
          <w:rFonts w:hint="default"/>
        </w:rPr>
        <w:t xml:space="preserve">12. </w:t>
      </w:r>
      <w:r>
        <w:rPr>
          <w:rFonts w:hint="eastAsia"/>
        </w:rPr>
        <w:t>家财险专项信息</w:t>
      </w:r>
      <w:r>
        <w:tab/>
      </w:r>
      <w:r>
        <w:fldChar w:fldCharType="begin"/>
      </w:r>
      <w:r>
        <w:instrText xml:space="preserve"> PAGEREF _Toc11818 </w:instrText>
      </w:r>
      <w:r>
        <w:fldChar w:fldCharType="separate"/>
      </w:r>
      <w:r>
        <w:t>276</w:t>
      </w:r>
      <w:r>
        <w:fldChar w:fldCharType="end"/>
      </w:r>
      <w:r>
        <w:fldChar w:fldCharType="end"/>
      </w:r>
    </w:p>
    <w:p>
      <w:pPr>
        <w:pStyle w:val="12"/>
        <w:tabs>
          <w:tab w:val="right" w:leader="dot" w:pos="8306"/>
        </w:tabs>
      </w:pPr>
      <w:r>
        <w:fldChar w:fldCharType="begin"/>
      </w:r>
      <w:r>
        <w:instrText xml:space="preserve"> HYPERLINK \l _Toc6585 </w:instrText>
      </w:r>
      <w:r>
        <w:fldChar w:fldCharType="separate"/>
      </w:r>
      <w:r>
        <w:rPr>
          <w:rFonts w:hint="default"/>
        </w:rPr>
        <w:t xml:space="preserve">13. </w:t>
      </w:r>
      <w:r>
        <w:rPr>
          <w:rFonts w:hint="eastAsia"/>
        </w:rPr>
        <w:t>企财险专项信息</w:t>
      </w:r>
      <w:r>
        <w:tab/>
      </w:r>
      <w:r>
        <w:fldChar w:fldCharType="begin"/>
      </w:r>
      <w:r>
        <w:instrText xml:space="preserve"> PAGEREF _Toc6585 </w:instrText>
      </w:r>
      <w:r>
        <w:fldChar w:fldCharType="separate"/>
      </w:r>
      <w:r>
        <w:t>276</w:t>
      </w:r>
      <w:r>
        <w:fldChar w:fldCharType="end"/>
      </w:r>
      <w:r>
        <w:fldChar w:fldCharType="end"/>
      </w:r>
    </w:p>
    <w:p>
      <w:pPr>
        <w:pStyle w:val="12"/>
        <w:tabs>
          <w:tab w:val="right" w:leader="dot" w:pos="8306"/>
        </w:tabs>
      </w:pPr>
      <w:r>
        <w:fldChar w:fldCharType="begin"/>
      </w:r>
      <w:r>
        <w:instrText xml:space="preserve"> HYPERLINK \l _Toc4231 </w:instrText>
      </w:r>
      <w:r>
        <w:fldChar w:fldCharType="separate"/>
      </w:r>
      <w:r>
        <w:rPr>
          <w:rFonts w:hint="default"/>
        </w:rPr>
        <w:t xml:space="preserve">14. </w:t>
      </w:r>
      <w:r>
        <w:rPr>
          <w:rFonts w:hint="eastAsia"/>
        </w:rPr>
        <w:t>责任险专项信息</w:t>
      </w:r>
      <w:r>
        <w:tab/>
      </w:r>
      <w:r>
        <w:fldChar w:fldCharType="begin"/>
      </w:r>
      <w:r>
        <w:instrText xml:space="preserve"> PAGEREF _Toc4231 </w:instrText>
      </w:r>
      <w:r>
        <w:fldChar w:fldCharType="separate"/>
      </w:r>
      <w:r>
        <w:t>277</w:t>
      </w:r>
      <w:r>
        <w:fldChar w:fldCharType="end"/>
      </w:r>
      <w:r>
        <w:fldChar w:fldCharType="end"/>
      </w:r>
    </w:p>
    <w:p>
      <w:pPr>
        <w:pStyle w:val="12"/>
        <w:tabs>
          <w:tab w:val="right" w:leader="dot" w:pos="8306"/>
        </w:tabs>
      </w:pPr>
      <w:r>
        <w:fldChar w:fldCharType="begin"/>
      </w:r>
      <w:r>
        <w:instrText xml:space="preserve"> HYPERLINK \l _Toc31901 </w:instrText>
      </w:r>
      <w:r>
        <w:fldChar w:fldCharType="separate"/>
      </w:r>
      <w:r>
        <w:rPr>
          <w:rFonts w:hint="default"/>
        </w:rPr>
        <w:t xml:space="preserve">15. </w:t>
      </w:r>
      <w:r>
        <w:rPr>
          <w:rFonts w:hint="eastAsia"/>
        </w:rPr>
        <w:t>信用险专项信息</w:t>
      </w:r>
      <w:r>
        <w:tab/>
      </w:r>
      <w:r>
        <w:fldChar w:fldCharType="begin"/>
      </w:r>
      <w:r>
        <w:instrText xml:space="preserve"> PAGEREF _Toc31901 </w:instrText>
      </w:r>
      <w:r>
        <w:fldChar w:fldCharType="separate"/>
      </w:r>
      <w:r>
        <w:t>278</w:t>
      </w:r>
      <w:r>
        <w:fldChar w:fldCharType="end"/>
      </w:r>
      <w:r>
        <w:fldChar w:fldCharType="end"/>
      </w:r>
    </w:p>
    <w:p>
      <w:pPr>
        <w:pStyle w:val="12"/>
        <w:tabs>
          <w:tab w:val="right" w:leader="dot" w:pos="8306"/>
        </w:tabs>
      </w:pPr>
      <w:r>
        <w:fldChar w:fldCharType="begin"/>
      </w:r>
      <w:r>
        <w:instrText xml:space="preserve"> HYPERLINK \l _Toc4105 </w:instrText>
      </w:r>
      <w:r>
        <w:fldChar w:fldCharType="separate"/>
      </w:r>
      <w:r>
        <w:rPr>
          <w:rFonts w:hint="default"/>
        </w:rPr>
        <w:t xml:space="preserve">16. </w:t>
      </w:r>
      <w:r>
        <w:rPr>
          <w:rFonts w:hint="eastAsia"/>
        </w:rPr>
        <w:t>保证险专项信息</w:t>
      </w:r>
      <w:r>
        <w:tab/>
      </w:r>
      <w:r>
        <w:fldChar w:fldCharType="begin"/>
      </w:r>
      <w:r>
        <w:instrText xml:space="preserve"> PAGEREF _Toc4105 </w:instrText>
      </w:r>
      <w:r>
        <w:fldChar w:fldCharType="separate"/>
      </w:r>
      <w:r>
        <w:t>279</w:t>
      </w:r>
      <w:r>
        <w:fldChar w:fldCharType="end"/>
      </w:r>
      <w:r>
        <w:fldChar w:fldCharType="end"/>
      </w:r>
    </w:p>
    <w:p>
      <w:pPr>
        <w:pStyle w:val="12"/>
        <w:tabs>
          <w:tab w:val="right" w:leader="dot" w:pos="8306"/>
        </w:tabs>
      </w:pPr>
      <w:r>
        <w:fldChar w:fldCharType="begin"/>
      </w:r>
      <w:r>
        <w:instrText xml:space="preserve"> HYPERLINK \l _Toc13097 </w:instrText>
      </w:r>
      <w:r>
        <w:fldChar w:fldCharType="separate"/>
      </w:r>
      <w:r>
        <w:rPr>
          <w:rFonts w:hint="default"/>
        </w:rPr>
        <w:t xml:space="preserve">17. </w:t>
      </w:r>
      <w:r>
        <w:rPr>
          <w:rFonts w:hint="eastAsia"/>
        </w:rPr>
        <w:t>货运险专项信息</w:t>
      </w:r>
      <w:r>
        <w:tab/>
      </w:r>
      <w:r>
        <w:fldChar w:fldCharType="begin"/>
      </w:r>
      <w:r>
        <w:instrText xml:space="preserve"> PAGEREF _Toc13097 </w:instrText>
      </w:r>
      <w:r>
        <w:fldChar w:fldCharType="separate"/>
      </w:r>
      <w:r>
        <w:t>279</w:t>
      </w:r>
      <w:r>
        <w:fldChar w:fldCharType="end"/>
      </w:r>
      <w:r>
        <w:fldChar w:fldCharType="end"/>
      </w:r>
    </w:p>
    <w:p>
      <w:pPr>
        <w:pStyle w:val="12"/>
        <w:tabs>
          <w:tab w:val="right" w:leader="dot" w:pos="8306"/>
        </w:tabs>
      </w:pPr>
      <w:r>
        <w:fldChar w:fldCharType="begin"/>
      </w:r>
      <w:r>
        <w:instrText xml:space="preserve"> HYPERLINK \l _Toc17483 </w:instrText>
      </w:r>
      <w:r>
        <w:fldChar w:fldCharType="separate"/>
      </w:r>
      <w:r>
        <w:rPr>
          <w:rFonts w:hint="default"/>
        </w:rPr>
        <w:t xml:space="preserve">18. </w:t>
      </w:r>
      <w:r>
        <w:rPr>
          <w:rFonts w:hint="eastAsia"/>
        </w:rPr>
        <w:t>船舶险专项信息</w:t>
      </w:r>
      <w:r>
        <w:tab/>
      </w:r>
      <w:r>
        <w:fldChar w:fldCharType="begin"/>
      </w:r>
      <w:r>
        <w:instrText xml:space="preserve"> PAGEREF _Toc17483 </w:instrText>
      </w:r>
      <w:r>
        <w:fldChar w:fldCharType="separate"/>
      </w:r>
      <w:r>
        <w:t>280</w:t>
      </w:r>
      <w:r>
        <w:fldChar w:fldCharType="end"/>
      </w:r>
      <w:r>
        <w:fldChar w:fldCharType="end"/>
      </w:r>
    </w:p>
    <w:p>
      <w:pPr>
        <w:pStyle w:val="12"/>
        <w:tabs>
          <w:tab w:val="right" w:leader="dot" w:pos="8306"/>
        </w:tabs>
      </w:pPr>
      <w:r>
        <w:fldChar w:fldCharType="begin"/>
      </w:r>
      <w:r>
        <w:instrText xml:space="preserve"> HYPERLINK \l _Toc10578 </w:instrText>
      </w:r>
      <w:r>
        <w:fldChar w:fldCharType="separate"/>
      </w:r>
      <w:r>
        <w:rPr>
          <w:rFonts w:hint="default"/>
        </w:rPr>
        <w:t xml:space="preserve">19. </w:t>
      </w:r>
      <w:r>
        <w:rPr>
          <w:rFonts w:hint="eastAsia"/>
        </w:rPr>
        <w:t>工程险专项信息</w:t>
      </w:r>
      <w:r>
        <w:tab/>
      </w:r>
      <w:r>
        <w:fldChar w:fldCharType="begin"/>
      </w:r>
      <w:r>
        <w:instrText xml:space="preserve"> PAGEREF _Toc10578 </w:instrText>
      </w:r>
      <w:r>
        <w:fldChar w:fldCharType="separate"/>
      </w:r>
      <w:r>
        <w:t>280</w:t>
      </w:r>
      <w:r>
        <w:fldChar w:fldCharType="end"/>
      </w:r>
      <w:r>
        <w:fldChar w:fldCharType="end"/>
      </w:r>
    </w:p>
    <w:p>
      <w:pPr>
        <w:pStyle w:val="12"/>
        <w:tabs>
          <w:tab w:val="right" w:leader="dot" w:pos="8306"/>
        </w:tabs>
      </w:pPr>
      <w:r>
        <w:fldChar w:fldCharType="begin"/>
      </w:r>
      <w:r>
        <w:instrText xml:space="preserve"> HYPERLINK \l _Toc22824 </w:instrText>
      </w:r>
      <w:r>
        <w:fldChar w:fldCharType="separate"/>
      </w:r>
      <w:r>
        <w:rPr>
          <w:rFonts w:hint="default"/>
        </w:rPr>
        <w:t xml:space="preserve">20. </w:t>
      </w:r>
      <w:r>
        <w:rPr>
          <w:rFonts w:hint="eastAsia"/>
        </w:rPr>
        <w:t>特殊风险专项信息</w:t>
      </w:r>
      <w:r>
        <w:tab/>
      </w:r>
      <w:r>
        <w:fldChar w:fldCharType="begin"/>
      </w:r>
      <w:r>
        <w:instrText xml:space="preserve"> PAGEREF _Toc22824 </w:instrText>
      </w:r>
      <w:r>
        <w:fldChar w:fldCharType="separate"/>
      </w:r>
      <w:r>
        <w:t>281</w:t>
      </w:r>
      <w:r>
        <w:fldChar w:fldCharType="end"/>
      </w:r>
      <w:r>
        <w:fldChar w:fldCharType="end"/>
      </w:r>
    </w:p>
    <w:p>
      <w:pPr>
        <w:pStyle w:val="12"/>
        <w:tabs>
          <w:tab w:val="right" w:leader="dot" w:pos="8306"/>
        </w:tabs>
      </w:pPr>
      <w:r>
        <w:fldChar w:fldCharType="begin"/>
      </w:r>
      <w:r>
        <w:instrText xml:space="preserve"> HYPERLINK \l _Toc29782 </w:instrText>
      </w:r>
      <w:r>
        <w:fldChar w:fldCharType="separate"/>
      </w:r>
      <w:r>
        <w:rPr>
          <w:rFonts w:hint="default"/>
        </w:rPr>
        <w:t xml:space="preserve">21. </w:t>
      </w:r>
      <w:r>
        <w:rPr>
          <w:rFonts w:hint="eastAsia"/>
        </w:rPr>
        <w:t>投资信息</w:t>
      </w:r>
      <w:r>
        <w:tab/>
      </w:r>
      <w:r>
        <w:fldChar w:fldCharType="begin"/>
      </w:r>
      <w:r>
        <w:instrText xml:space="preserve"> PAGEREF _Toc29782 </w:instrText>
      </w:r>
      <w:r>
        <w:fldChar w:fldCharType="separate"/>
      </w:r>
      <w:r>
        <w:t>282</w:t>
      </w:r>
      <w:r>
        <w:fldChar w:fldCharType="end"/>
      </w:r>
      <w:r>
        <w:fldChar w:fldCharType="end"/>
      </w:r>
    </w:p>
    <w:p>
      <w:pPr>
        <w:pStyle w:val="12"/>
        <w:tabs>
          <w:tab w:val="right" w:leader="dot" w:pos="8306"/>
        </w:tabs>
      </w:pPr>
      <w:r>
        <w:fldChar w:fldCharType="begin"/>
      </w:r>
      <w:r>
        <w:instrText xml:space="preserve"> HYPERLINK \l _Toc3184 </w:instrText>
      </w:r>
      <w:r>
        <w:fldChar w:fldCharType="separate"/>
      </w:r>
      <w:r>
        <w:rPr>
          <w:rFonts w:hint="default"/>
        </w:rPr>
        <w:t xml:space="preserve">22. </w:t>
      </w:r>
      <w:r>
        <w:rPr>
          <w:rFonts w:hint="eastAsia"/>
        </w:rPr>
        <w:t>关联交易信息</w:t>
      </w:r>
      <w:r>
        <w:tab/>
      </w:r>
      <w:r>
        <w:fldChar w:fldCharType="begin"/>
      </w:r>
      <w:r>
        <w:instrText xml:space="preserve"> PAGEREF _Toc3184 </w:instrText>
      </w:r>
      <w:r>
        <w:fldChar w:fldCharType="separate"/>
      </w:r>
      <w:r>
        <w:t>282</w:t>
      </w:r>
      <w:r>
        <w:fldChar w:fldCharType="end"/>
      </w:r>
      <w:r>
        <w:fldChar w:fldCharType="end"/>
      </w:r>
    </w:p>
    <w:p>
      <w:pPr>
        <w:pStyle w:val="12"/>
        <w:tabs>
          <w:tab w:val="right" w:leader="dot" w:pos="8306"/>
        </w:tabs>
      </w:pPr>
      <w:r>
        <w:fldChar w:fldCharType="begin"/>
      </w:r>
      <w:r>
        <w:instrText xml:space="preserve"> HYPERLINK \l _Toc2596 </w:instrText>
      </w:r>
      <w:r>
        <w:fldChar w:fldCharType="separate"/>
      </w:r>
      <w:r>
        <w:rPr>
          <w:rFonts w:hint="default"/>
        </w:rPr>
        <w:t xml:space="preserve">23. </w:t>
      </w:r>
      <w:r>
        <w:rPr>
          <w:rFonts w:hint="eastAsia"/>
        </w:rPr>
        <w:t>意外健康险专项信息</w:t>
      </w:r>
      <w:r>
        <w:tab/>
      </w:r>
      <w:r>
        <w:fldChar w:fldCharType="begin"/>
      </w:r>
      <w:r>
        <w:instrText xml:space="preserve"> PAGEREF _Toc2596 </w:instrText>
      </w:r>
      <w:r>
        <w:fldChar w:fldCharType="separate"/>
      </w:r>
      <w:r>
        <w:t>283</w:t>
      </w:r>
      <w:r>
        <w:fldChar w:fldCharType="end"/>
      </w:r>
      <w:r>
        <w:fldChar w:fldCharType="end"/>
      </w:r>
    </w:p>
    <w:p>
      <w:pPr>
        <w:spacing w:line="288" w:lineRule="auto"/>
      </w:pPr>
      <w:r>
        <w:fldChar w:fldCharType="end"/>
      </w:r>
    </w:p>
    <w:bookmarkEnd w:id="0"/>
    <w:bookmarkEnd w:id="1"/>
    <w:bookmarkEnd w:id="2"/>
    <w:bookmarkEnd w:id="3"/>
    <w:p>
      <w:pPr>
        <w:sectPr>
          <w:footerReference r:id="rId3" w:type="default"/>
          <w:type w:val="oddPage"/>
          <w:pgSz w:w="11906" w:h="16838"/>
          <w:pgMar w:top="1440" w:right="1800" w:bottom="1440" w:left="1800" w:header="851" w:footer="992" w:gutter="0"/>
          <w:pgNumType w:fmt="upperRoman" w:start="1"/>
          <w:cols w:space="720" w:num="1"/>
          <w:titlePg/>
          <w:docGrid w:type="lines" w:linePitch="312" w:charSpace="0"/>
        </w:sectPr>
      </w:pPr>
    </w:p>
    <w:p>
      <w:pPr>
        <w:pStyle w:val="44"/>
        <w:spacing w:line="560" w:lineRule="exact"/>
      </w:pPr>
      <w:bookmarkStart w:id="4" w:name="_Toc6686"/>
      <w:r>
        <w:rPr>
          <w:rFonts w:hint="eastAsia"/>
        </w:rPr>
        <w:t>本规范通过明确财产保险数据的业务属性和技术属性，将财产保险公司数据结构映射成统一的监管标准化数据格式，以实现监管标准化数据的采集和处理。数据源范围包括了公共信息、会计记账、再保险、投资、关联交易等信息，形成相互关联、综合运用的数据体系，便于对相关数据进行挖掘分析。监管标准化数据提供财产保险业务管理所需基本数据类型，便于财产保险公司对照标准化监管数据，分析自身系统架构与数据完整性、准确性、及时性，从而为财产保险公司完善风险管理与内部控制，提升数据治理水平提供有效途径。</w:t>
      </w:r>
      <w:bookmarkEnd w:id="4"/>
    </w:p>
    <w:p>
      <w:pPr>
        <w:pStyle w:val="2"/>
        <w:numPr>
          <w:ilvl w:val="0"/>
          <w:numId w:val="5"/>
        </w:numPr>
        <w:spacing w:before="0" w:beforeLines="0" w:after="0" w:afterLines="0" w:line="560" w:lineRule="exact"/>
      </w:pPr>
      <w:bookmarkStart w:id="5" w:name="_Toc862088358"/>
      <w:bookmarkStart w:id="6" w:name="_Toc11072"/>
      <w:r>
        <w:t>数据结构</w:t>
      </w:r>
      <w:bookmarkEnd w:id="5"/>
      <w:bookmarkEnd w:id="6"/>
    </w:p>
    <w:p>
      <w:pPr>
        <w:pStyle w:val="3"/>
        <w:numPr>
          <w:ilvl w:val="0"/>
          <w:numId w:val="6"/>
        </w:numPr>
        <w:spacing w:before="0" w:beforeLines="0" w:after="0" w:afterLines="0" w:line="560" w:lineRule="exact"/>
      </w:pPr>
      <w:bookmarkStart w:id="7" w:name="_Toc46866597"/>
      <w:bookmarkStart w:id="8" w:name="_Toc11606"/>
      <w:r>
        <w:t>数据结构单元</w:t>
      </w:r>
      <w:bookmarkEnd w:id="7"/>
      <w:bookmarkEnd w:id="8"/>
    </w:p>
    <w:p>
      <w:pPr>
        <w:pStyle w:val="44"/>
        <w:spacing w:line="560" w:lineRule="exact"/>
      </w:pPr>
      <w:r>
        <w:t>数据采集内容的结构单元如下表所示：</w:t>
      </w:r>
    </w:p>
    <w:tbl>
      <w:tblPr>
        <w:tblStyle w:val="28"/>
        <w:tblW w:w="862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8"/>
        <w:gridCol w:w="5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918" w:type="dxa"/>
            <w:vAlign w:val="center"/>
          </w:tcPr>
          <w:p>
            <w:pPr>
              <w:pStyle w:val="36"/>
            </w:pPr>
            <w:r>
              <w:t>结构单元</w:t>
            </w:r>
          </w:p>
        </w:tc>
        <w:tc>
          <w:tcPr>
            <w:tcW w:w="5707" w:type="dxa"/>
            <w:vAlign w:val="center"/>
          </w:tcPr>
          <w:p>
            <w:pPr>
              <w:pStyle w:val="36"/>
            </w:pPr>
            <w:r>
              <w:t>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918" w:type="dxa"/>
            <w:vAlign w:val="center"/>
          </w:tcPr>
          <w:p>
            <w:pPr>
              <w:pStyle w:val="37"/>
            </w:pPr>
            <w:r>
              <w:t>主题域</w:t>
            </w:r>
          </w:p>
        </w:tc>
        <w:tc>
          <w:tcPr>
            <w:tcW w:w="5707" w:type="dxa"/>
            <w:vAlign w:val="center"/>
          </w:tcPr>
          <w:p>
            <w:pPr>
              <w:pStyle w:val="37"/>
            </w:pPr>
            <w:r>
              <w:t>用于划分监管关注领域大类</w:t>
            </w:r>
            <w:r>
              <w:rPr>
                <w:rFonts w:hint="eastAsia"/>
              </w:rPr>
              <w:t>。</w:t>
            </w:r>
            <w:r>
              <w:t>分公共信息、会计记</w:t>
            </w:r>
            <w:r>
              <w:rPr>
                <w:rFonts w:hint="eastAsia"/>
              </w:rPr>
              <w:t>账</w:t>
            </w:r>
            <w:r>
              <w:t>信息、</w:t>
            </w:r>
            <w:r>
              <w:rPr>
                <w:rFonts w:hint="eastAsia"/>
              </w:rPr>
              <w:t>客户信息、产品信息、承保信息、收付费信息、再保险信息、理赔信息、服务信息、车险专项、农险专项、家财险专项、企财险专项、责任险专项、信用险专项、保证险专项、货运险专项、船舶险专项、工程险专项、特殊风险专项、意外健康险专项、投资业务、关联交易23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918" w:type="dxa"/>
            <w:vAlign w:val="center"/>
          </w:tcPr>
          <w:p>
            <w:pPr>
              <w:pStyle w:val="37"/>
            </w:pPr>
            <w:r>
              <w:t>表</w:t>
            </w:r>
          </w:p>
        </w:tc>
        <w:tc>
          <w:tcPr>
            <w:tcW w:w="5707" w:type="dxa"/>
            <w:vAlign w:val="center"/>
          </w:tcPr>
          <w:p>
            <w:pPr>
              <w:pStyle w:val="37"/>
            </w:pPr>
            <w:r>
              <w:t>即关系型数据库表，一个主题域中有一个或多个表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918" w:type="dxa"/>
            <w:vAlign w:val="center"/>
          </w:tcPr>
          <w:p>
            <w:pPr>
              <w:pStyle w:val="37"/>
            </w:pPr>
            <w:r>
              <w:t>数据项（列）</w:t>
            </w:r>
          </w:p>
        </w:tc>
        <w:tc>
          <w:tcPr>
            <w:tcW w:w="5707" w:type="dxa"/>
            <w:vAlign w:val="center"/>
          </w:tcPr>
          <w:p>
            <w:pPr>
              <w:pStyle w:val="37"/>
            </w:pPr>
            <w:r>
              <w:t>表下有一个或多个数据项（列），即数据的基本单位。每个数据项的数据内容由</w:t>
            </w:r>
            <w:r>
              <w:rPr>
                <w:rFonts w:hint="eastAsia"/>
              </w:rPr>
              <w:t>“</w:t>
            </w:r>
            <w:r>
              <w:t>数据项说明</w:t>
            </w:r>
            <w:r>
              <w:rPr>
                <w:rFonts w:hint="eastAsia"/>
              </w:rPr>
              <w:t>”</w:t>
            </w:r>
            <w: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918" w:type="dxa"/>
            <w:vAlign w:val="center"/>
          </w:tcPr>
          <w:p>
            <w:pPr>
              <w:pStyle w:val="37"/>
            </w:pPr>
            <w:r>
              <w:t>数据实例（行）</w:t>
            </w:r>
          </w:p>
        </w:tc>
        <w:tc>
          <w:tcPr>
            <w:tcW w:w="5707" w:type="dxa"/>
            <w:vAlign w:val="center"/>
          </w:tcPr>
          <w:p>
            <w:pPr>
              <w:pStyle w:val="37"/>
            </w:pPr>
            <w:r>
              <w:t>每一个数据实例包含且仅包含一行所有数据项（列）定义的数据，是数据存储和报送的基本单位。数据实例遵循关系型数据库第二范式，即数据实例在同一表中不重复。</w:t>
            </w:r>
          </w:p>
        </w:tc>
      </w:tr>
    </w:tbl>
    <w:p>
      <w:pPr>
        <w:pStyle w:val="3"/>
        <w:numPr>
          <w:ilvl w:val="0"/>
          <w:numId w:val="6"/>
        </w:numPr>
        <w:spacing w:before="0" w:beforeLines="0" w:after="0" w:afterLines="0" w:line="560" w:lineRule="exact"/>
        <w:rPr>
          <w:szCs w:val="22"/>
        </w:rPr>
      </w:pPr>
      <w:bookmarkStart w:id="9" w:name="_Toc28096"/>
      <w:bookmarkStart w:id="10" w:name="_Toc26782"/>
      <w:bookmarkStart w:id="11" w:name="_Toc1707880977"/>
      <w:bookmarkStart w:id="12" w:name="_Toc22244"/>
      <w:bookmarkStart w:id="13" w:name="_Toc18083"/>
      <w:bookmarkStart w:id="14" w:name="_Toc28225"/>
      <w:bookmarkStart w:id="15" w:name="_Toc4548"/>
      <w:bookmarkStart w:id="16" w:name="_Toc13695"/>
      <w:r>
        <w:rPr>
          <w:szCs w:val="22"/>
        </w:rPr>
        <w:t>数据内容及格式</w:t>
      </w:r>
      <w:bookmarkEnd w:id="9"/>
      <w:bookmarkEnd w:id="10"/>
      <w:bookmarkEnd w:id="11"/>
      <w:bookmarkEnd w:id="12"/>
      <w:bookmarkEnd w:id="13"/>
      <w:bookmarkEnd w:id="14"/>
      <w:bookmarkEnd w:id="15"/>
      <w:bookmarkEnd w:id="16"/>
    </w:p>
    <w:p>
      <w:pPr>
        <w:pStyle w:val="44"/>
      </w:pPr>
      <w:r>
        <w:t>每个数据项需要采集的内容应参照</w:t>
      </w:r>
      <w:r>
        <w:rPr>
          <w:rFonts w:hint="eastAsia"/>
        </w:rPr>
        <w:t>“</w:t>
      </w:r>
      <w:r>
        <w:t>数据项说明</w:t>
      </w:r>
      <w:r>
        <w:rPr>
          <w:rFonts w:hint="eastAsia"/>
        </w:rPr>
        <w:t>”</w:t>
      </w:r>
      <w:r>
        <w:t>。格式说明数据项的类型及长度的表示形式，如下表所示：</w:t>
      </w:r>
    </w:p>
    <w:tbl>
      <w:tblPr>
        <w:tblStyle w:val="28"/>
        <w:tblW w:w="8113" w:type="dxa"/>
        <w:jc w:val="center"/>
        <w:tblInd w:w="0" w:type="dxa"/>
        <w:tblLayout w:type="fixed"/>
        <w:tblCellMar>
          <w:top w:w="0" w:type="dxa"/>
          <w:left w:w="108" w:type="dxa"/>
          <w:bottom w:w="0" w:type="dxa"/>
          <w:right w:w="108" w:type="dxa"/>
        </w:tblCellMar>
      </w:tblPr>
      <w:tblGrid>
        <w:gridCol w:w="3151"/>
        <w:gridCol w:w="4962"/>
      </w:tblGrid>
      <w:tr>
        <w:tblPrEx>
          <w:tblLayout w:type="fixed"/>
          <w:tblCellMar>
            <w:top w:w="0" w:type="dxa"/>
            <w:left w:w="108" w:type="dxa"/>
            <w:bottom w:w="0" w:type="dxa"/>
            <w:right w:w="108" w:type="dxa"/>
          </w:tblCellMar>
        </w:tblPrEx>
        <w:trPr>
          <w:trHeight w:val="270" w:hRule="atLeast"/>
          <w:jc w:val="center"/>
        </w:trPr>
        <w:tc>
          <w:tcPr>
            <w:tcW w:w="3151" w:type="dxa"/>
            <w:tcBorders>
              <w:top w:val="single" w:color="auto" w:sz="4" w:space="0"/>
              <w:left w:val="single" w:color="auto" w:sz="4" w:space="0"/>
              <w:bottom w:val="single" w:color="auto" w:sz="4" w:space="0"/>
              <w:right w:val="single" w:color="auto" w:sz="4" w:space="0"/>
            </w:tcBorders>
            <w:vAlign w:val="center"/>
          </w:tcPr>
          <w:p>
            <w:pPr>
              <w:pStyle w:val="36"/>
            </w:pPr>
            <w:r>
              <w:t>格式</w:t>
            </w:r>
          </w:p>
        </w:tc>
        <w:tc>
          <w:tcPr>
            <w:tcW w:w="4962" w:type="dxa"/>
            <w:tcBorders>
              <w:top w:val="single" w:color="auto" w:sz="4" w:space="0"/>
              <w:left w:val="nil"/>
              <w:bottom w:val="single" w:color="auto" w:sz="4" w:space="0"/>
              <w:right w:val="single" w:color="auto" w:sz="4" w:space="0"/>
            </w:tcBorders>
            <w:vAlign w:val="center"/>
          </w:tcPr>
          <w:p>
            <w:pPr>
              <w:pStyle w:val="36"/>
            </w:pPr>
            <w:r>
              <w:t>含义</w:t>
            </w:r>
          </w:p>
        </w:tc>
      </w:tr>
      <w:tr>
        <w:tblPrEx>
          <w:tblLayout w:type="fixed"/>
          <w:tblCellMar>
            <w:top w:w="0" w:type="dxa"/>
            <w:left w:w="108" w:type="dxa"/>
            <w:bottom w:w="0" w:type="dxa"/>
            <w:right w:w="108" w:type="dxa"/>
          </w:tblCellMar>
        </w:tblPrEx>
        <w:trPr>
          <w:trHeight w:val="270" w:hRule="atLeast"/>
          <w:jc w:val="center"/>
        </w:trPr>
        <w:tc>
          <w:tcPr>
            <w:tcW w:w="3151" w:type="dxa"/>
            <w:tcBorders>
              <w:top w:val="nil"/>
              <w:left w:val="single" w:color="auto" w:sz="4" w:space="0"/>
              <w:bottom w:val="single" w:color="auto" w:sz="4" w:space="0"/>
              <w:right w:val="single" w:color="auto" w:sz="4" w:space="0"/>
            </w:tcBorders>
            <w:vAlign w:val="center"/>
          </w:tcPr>
          <w:p>
            <w:pPr>
              <w:pStyle w:val="37"/>
            </w:pPr>
            <w:r>
              <w:t>C n</w:t>
            </w:r>
          </w:p>
        </w:tc>
        <w:tc>
          <w:tcPr>
            <w:tcW w:w="4962" w:type="dxa"/>
            <w:tcBorders>
              <w:top w:val="nil"/>
              <w:left w:val="nil"/>
              <w:bottom w:val="single" w:color="auto" w:sz="4" w:space="0"/>
              <w:right w:val="single" w:color="auto" w:sz="4" w:space="0"/>
            </w:tcBorders>
            <w:vAlign w:val="center"/>
          </w:tcPr>
          <w:p>
            <w:pPr>
              <w:pStyle w:val="37"/>
            </w:pPr>
            <w:r>
              <w:rPr>
                <w:rFonts w:hint="eastAsia"/>
              </w:rPr>
              <w:t>表示n个字符的固定长度，相应的字符长度由字符编码集确定。</w:t>
            </w:r>
          </w:p>
        </w:tc>
      </w:tr>
      <w:tr>
        <w:tblPrEx>
          <w:tblLayout w:type="fixed"/>
          <w:tblCellMar>
            <w:top w:w="0" w:type="dxa"/>
            <w:left w:w="108" w:type="dxa"/>
            <w:bottom w:w="0" w:type="dxa"/>
            <w:right w:w="108" w:type="dxa"/>
          </w:tblCellMar>
        </w:tblPrEx>
        <w:trPr>
          <w:trHeight w:val="270" w:hRule="atLeast"/>
          <w:jc w:val="center"/>
        </w:trPr>
        <w:tc>
          <w:tcPr>
            <w:tcW w:w="3151" w:type="dxa"/>
            <w:tcBorders>
              <w:top w:val="nil"/>
              <w:left w:val="single" w:color="auto" w:sz="4" w:space="0"/>
              <w:bottom w:val="single" w:color="auto" w:sz="4" w:space="0"/>
              <w:right w:val="single" w:color="auto" w:sz="4" w:space="0"/>
            </w:tcBorders>
            <w:vAlign w:val="center"/>
          </w:tcPr>
          <w:p>
            <w:pPr>
              <w:pStyle w:val="37"/>
            </w:pPr>
            <w:r>
              <w:t>C..n</w:t>
            </w:r>
          </w:p>
        </w:tc>
        <w:tc>
          <w:tcPr>
            <w:tcW w:w="4962" w:type="dxa"/>
            <w:tcBorders>
              <w:top w:val="nil"/>
              <w:left w:val="nil"/>
              <w:bottom w:val="single" w:color="auto" w:sz="4" w:space="0"/>
              <w:right w:val="single" w:color="auto" w:sz="4" w:space="0"/>
            </w:tcBorders>
            <w:vAlign w:val="center"/>
          </w:tcPr>
          <w:p>
            <w:pPr>
              <w:pStyle w:val="37"/>
              <w:jc w:val="left"/>
            </w:pPr>
            <w:r>
              <w:rPr>
                <w:rFonts w:hint="eastAsia"/>
              </w:rPr>
              <w:t>表示最多为n个字符的可变长度，相应的字符长度由字符编码集确定。</w:t>
            </w:r>
          </w:p>
        </w:tc>
      </w:tr>
      <w:tr>
        <w:tblPrEx>
          <w:tblLayout w:type="fixed"/>
          <w:tblCellMar>
            <w:top w:w="0" w:type="dxa"/>
            <w:left w:w="108" w:type="dxa"/>
            <w:bottom w:w="0" w:type="dxa"/>
            <w:right w:w="108" w:type="dxa"/>
          </w:tblCellMar>
        </w:tblPrEx>
        <w:trPr>
          <w:trHeight w:val="270" w:hRule="atLeast"/>
          <w:jc w:val="center"/>
        </w:trPr>
        <w:tc>
          <w:tcPr>
            <w:tcW w:w="3151" w:type="dxa"/>
            <w:tcBorders>
              <w:top w:val="nil"/>
              <w:left w:val="single" w:color="auto" w:sz="4" w:space="0"/>
              <w:bottom w:val="single" w:color="auto" w:sz="4" w:space="0"/>
              <w:right w:val="single" w:color="auto" w:sz="4" w:space="0"/>
            </w:tcBorders>
            <w:vAlign w:val="center"/>
          </w:tcPr>
          <w:p>
            <w:pPr>
              <w:pStyle w:val="37"/>
            </w:pPr>
            <w:r>
              <w:rPr>
                <w:rFonts w:hint="eastAsia"/>
              </w:rPr>
              <w:t>I</w:t>
            </w:r>
          </w:p>
        </w:tc>
        <w:tc>
          <w:tcPr>
            <w:tcW w:w="4962" w:type="dxa"/>
            <w:tcBorders>
              <w:top w:val="nil"/>
              <w:left w:val="nil"/>
              <w:bottom w:val="single" w:color="auto" w:sz="4" w:space="0"/>
              <w:right w:val="single" w:color="auto" w:sz="4" w:space="0"/>
            </w:tcBorders>
            <w:vAlign w:val="center"/>
          </w:tcPr>
          <w:p>
            <w:pPr>
              <w:pStyle w:val="37"/>
              <w:jc w:val="left"/>
            </w:pPr>
            <w:r>
              <w:rPr>
                <w:rFonts w:hint="eastAsia"/>
              </w:rPr>
              <w:t>表示整数可计算形式。</w:t>
            </w:r>
          </w:p>
        </w:tc>
      </w:tr>
      <w:tr>
        <w:tblPrEx>
          <w:tblLayout w:type="fixed"/>
          <w:tblCellMar>
            <w:top w:w="0" w:type="dxa"/>
            <w:left w:w="108" w:type="dxa"/>
            <w:bottom w:w="0" w:type="dxa"/>
            <w:right w:w="108" w:type="dxa"/>
          </w:tblCellMar>
        </w:tblPrEx>
        <w:trPr>
          <w:trHeight w:val="90" w:hRule="atLeast"/>
          <w:jc w:val="center"/>
        </w:trPr>
        <w:tc>
          <w:tcPr>
            <w:tcW w:w="3151" w:type="dxa"/>
            <w:tcBorders>
              <w:top w:val="nil"/>
              <w:left w:val="single" w:color="auto" w:sz="4" w:space="0"/>
              <w:bottom w:val="single" w:color="auto" w:sz="4" w:space="0"/>
              <w:right w:val="single" w:color="auto" w:sz="4" w:space="0"/>
            </w:tcBorders>
            <w:vAlign w:val="center"/>
          </w:tcPr>
          <w:p>
            <w:pPr>
              <w:pStyle w:val="37"/>
            </w:pPr>
            <w:r>
              <w:t>I..n</w:t>
            </w:r>
          </w:p>
        </w:tc>
        <w:tc>
          <w:tcPr>
            <w:tcW w:w="4962" w:type="dxa"/>
            <w:tcBorders>
              <w:top w:val="nil"/>
              <w:left w:val="nil"/>
              <w:bottom w:val="single" w:color="auto" w:sz="4" w:space="0"/>
              <w:right w:val="single" w:color="auto" w:sz="4" w:space="0"/>
            </w:tcBorders>
            <w:vAlign w:val="center"/>
          </w:tcPr>
          <w:p>
            <w:pPr>
              <w:pStyle w:val="37"/>
              <w:jc w:val="left"/>
            </w:pPr>
            <w:r>
              <w:rPr>
                <w:rFonts w:hint="eastAsia"/>
              </w:rPr>
              <w:t>表示最多为n位的整数可计算形式。</w:t>
            </w:r>
          </w:p>
        </w:tc>
      </w:tr>
      <w:tr>
        <w:tblPrEx>
          <w:tblLayout w:type="fixed"/>
          <w:tblCellMar>
            <w:top w:w="0" w:type="dxa"/>
            <w:left w:w="108" w:type="dxa"/>
            <w:bottom w:w="0" w:type="dxa"/>
            <w:right w:w="108" w:type="dxa"/>
          </w:tblCellMar>
        </w:tblPrEx>
        <w:trPr>
          <w:trHeight w:val="90" w:hRule="atLeast"/>
          <w:jc w:val="center"/>
        </w:trPr>
        <w:tc>
          <w:tcPr>
            <w:tcW w:w="3151" w:type="dxa"/>
            <w:tcBorders>
              <w:top w:val="nil"/>
              <w:left w:val="single" w:color="auto" w:sz="4" w:space="0"/>
              <w:bottom w:val="single" w:color="auto" w:sz="4" w:space="0"/>
              <w:right w:val="single" w:color="auto" w:sz="4" w:space="0"/>
            </w:tcBorders>
            <w:vAlign w:val="center"/>
          </w:tcPr>
          <w:p>
            <w:pPr>
              <w:pStyle w:val="37"/>
            </w:pPr>
            <w:r>
              <w:t>Dw.d</w:t>
            </w:r>
          </w:p>
        </w:tc>
        <w:tc>
          <w:tcPr>
            <w:tcW w:w="4962" w:type="dxa"/>
            <w:tcBorders>
              <w:top w:val="nil"/>
              <w:left w:val="nil"/>
              <w:bottom w:val="single" w:color="auto" w:sz="4" w:space="0"/>
              <w:right w:val="single" w:color="auto" w:sz="4" w:space="0"/>
            </w:tcBorders>
            <w:vAlign w:val="center"/>
          </w:tcPr>
          <w:p>
            <w:pPr>
              <w:pStyle w:val="37"/>
              <w:jc w:val="left"/>
            </w:pPr>
            <w:r>
              <w:t>表示十进制小数可计算形式，w表示包含小数点前后字符位在内的整个</w:t>
            </w:r>
            <w:r>
              <w:rPr>
                <w:rFonts w:hint="eastAsia"/>
              </w:rPr>
              <w:t>数据项</w:t>
            </w:r>
            <w:r>
              <w:t>最多字符位数，d表示小数点后的最多字符位数</w:t>
            </w:r>
            <w:r>
              <w:rPr>
                <w:rFonts w:hint="eastAsia"/>
              </w:rPr>
              <w:t>。</w:t>
            </w:r>
          </w:p>
        </w:tc>
      </w:tr>
      <w:tr>
        <w:tblPrEx>
          <w:tblLayout w:type="fixed"/>
          <w:tblCellMar>
            <w:top w:w="0" w:type="dxa"/>
            <w:left w:w="108" w:type="dxa"/>
            <w:bottom w:w="0" w:type="dxa"/>
            <w:right w:w="108" w:type="dxa"/>
          </w:tblCellMar>
        </w:tblPrEx>
        <w:trPr>
          <w:trHeight w:val="270" w:hRule="atLeast"/>
          <w:jc w:val="center"/>
        </w:trPr>
        <w:tc>
          <w:tcPr>
            <w:tcW w:w="3151" w:type="dxa"/>
            <w:tcBorders>
              <w:top w:val="single" w:color="auto" w:sz="4" w:space="0"/>
              <w:left w:val="single" w:color="auto" w:sz="4" w:space="0"/>
              <w:bottom w:val="single" w:color="auto" w:sz="4" w:space="0"/>
              <w:right w:val="single" w:color="auto" w:sz="4" w:space="0"/>
            </w:tcBorders>
            <w:vAlign w:val="center"/>
          </w:tcPr>
          <w:p>
            <w:pPr>
              <w:pStyle w:val="37"/>
              <w:rPr>
                <w:szCs w:val="22"/>
              </w:rPr>
            </w:pPr>
            <w:r>
              <w:rPr>
                <w:rFonts w:hint="eastAsia"/>
                <w:szCs w:val="22"/>
              </w:rPr>
              <w:t>YYYYMMDD</w:t>
            </w:r>
          </w:p>
        </w:tc>
        <w:tc>
          <w:tcPr>
            <w:tcW w:w="4962" w:type="dxa"/>
            <w:tcBorders>
              <w:top w:val="single" w:color="auto" w:sz="4" w:space="0"/>
              <w:left w:val="single" w:color="auto" w:sz="4" w:space="0"/>
              <w:bottom w:val="single" w:color="auto" w:sz="4" w:space="0"/>
              <w:right w:val="single" w:color="auto" w:sz="4" w:space="0"/>
            </w:tcBorders>
            <w:vAlign w:val="center"/>
          </w:tcPr>
          <w:p>
            <w:pPr>
              <w:pStyle w:val="37"/>
              <w:rPr>
                <w:szCs w:val="22"/>
              </w:rPr>
            </w:pPr>
            <w:r>
              <w:rPr>
                <w:rFonts w:hint="eastAsia"/>
                <w:szCs w:val="22"/>
              </w:rPr>
              <w:t>年月日。</w:t>
            </w:r>
          </w:p>
        </w:tc>
      </w:tr>
      <w:tr>
        <w:tblPrEx>
          <w:tblLayout w:type="fixed"/>
          <w:tblCellMar>
            <w:top w:w="0" w:type="dxa"/>
            <w:left w:w="108" w:type="dxa"/>
            <w:bottom w:w="0" w:type="dxa"/>
            <w:right w:w="108" w:type="dxa"/>
          </w:tblCellMar>
        </w:tblPrEx>
        <w:trPr>
          <w:trHeight w:val="270" w:hRule="atLeast"/>
          <w:jc w:val="center"/>
        </w:trPr>
        <w:tc>
          <w:tcPr>
            <w:tcW w:w="3151" w:type="dxa"/>
            <w:tcBorders>
              <w:top w:val="single" w:color="auto" w:sz="4" w:space="0"/>
              <w:left w:val="single" w:color="auto" w:sz="4" w:space="0"/>
              <w:bottom w:val="single" w:color="auto" w:sz="4" w:space="0"/>
              <w:right w:val="single" w:color="auto" w:sz="4" w:space="0"/>
            </w:tcBorders>
            <w:vAlign w:val="center"/>
          </w:tcPr>
          <w:p>
            <w:pPr>
              <w:pStyle w:val="37"/>
              <w:rPr>
                <w:szCs w:val="22"/>
              </w:rPr>
            </w:pPr>
            <w:r>
              <w:rPr>
                <w:rFonts w:hint="eastAsia"/>
                <w:szCs w:val="22"/>
              </w:rPr>
              <w:t>YYYYMMDDhhmmss</w:t>
            </w:r>
          </w:p>
        </w:tc>
        <w:tc>
          <w:tcPr>
            <w:tcW w:w="4962" w:type="dxa"/>
            <w:tcBorders>
              <w:top w:val="single" w:color="auto" w:sz="4" w:space="0"/>
              <w:left w:val="single" w:color="auto" w:sz="4" w:space="0"/>
              <w:bottom w:val="single" w:color="auto" w:sz="4" w:space="0"/>
              <w:right w:val="single" w:color="auto" w:sz="4" w:space="0"/>
            </w:tcBorders>
            <w:vAlign w:val="center"/>
          </w:tcPr>
          <w:p>
            <w:pPr>
              <w:pStyle w:val="37"/>
              <w:rPr>
                <w:szCs w:val="22"/>
              </w:rPr>
            </w:pPr>
            <w:r>
              <w:rPr>
                <w:rFonts w:hint="eastAsia"/>
                <w:szCs w:val="22"/>
              </w:rPr>
              <w:t>年月日时分秒。</w:t>
            </w:r>
          </w:p>
        </w:tc>
      </w:tr>
    </w:tbl>
    <w:p>
      <w:pPr>
        <w:pStyle w:val="3"/>
        <w:numPr>
          <w:ilvl w:val="0"/>
          <w:numId w:val="6"/>
        </w:numPr>
        <w:spacing w:before="0" w:beforeLines="0" w:after="0" w:afterLines="0" w:line="560" w:lineRule="exact"/>
        <w:rPr>
          <w:szCs w:val="22"/>
        </w:rPr>
      </w:pPr>
      <w:bookmarkStart w:id="17" w:name="_Toc21034"/>
      <w:bookmarkStart w:id="18" w:name="_Toc20686"/>
      <w:bookmarkStart w:id="19" w:name="_Toc603"/>
      <w:bookmarkStart w:id="20" w:name="_Toc1089154637"/>
      <w:bookmarkStart w:id="21" w:name="_Toc1848"/>
      <w:bookmarkStart w:id="22" w:name="_Toc4995"/>
      <w:bookmarkStart w:id="23" w:name="_Toc24166"/>
      <w:bookmarkStart w:id="24" w:name="_Toc117"/>
      <w:r>
        <w:rPr>
          <w:rFonts w:hint="eastAsia"/>
          <w:szCs w:val="22"/>
        </w:rPr>
        <w:t>数据结构</w:t>
      </w:r>
      <w:bookmarkEnd w:id="17"/>
      <w:bookmarkEnd w:id="18"/>
      <w:bookmarkEnd w:id="19"/>
      <w:bookmarkEnd w:id="20"/>
      <w:bookmarkEnd w:id="21"/>
      <w:bookmarkEnd w:id="22"/>
      <w:bookmarkEnd w:id="23"/>
      <w:bookmarkEnd w:id="24"/>
    </w:p>
    <w:p>
      <w:pPr>
        <w:pStyle w:val="4"/>
      </w:pPr>
      <w:bookmarkStart w:id="25" w:name="_Toc12289"/>
      <w:bookmarkStart w:id="26" w:name="_Toc16636"/>
      <w:bookmarkStart w:id="27" w:name="_Toc6578"/>
      <w:bookmarkStart w:id="28" w:name="_Toc22421"/>
      <w:bookmarkStart w:id="29" w:name="_Toc15541"/>
      <w:bookmarkStart w:id="30" w:name="_Toc21563"/>
      <w:bookmarkStart w:id="31" w:name="_Toc17515"/>
      <w:bookmarkStart w:id="32" w:name="_Toc271377031"/>
      <w:r>
        <w:t>公共信息</w:t>
      </w:r>
      <w:bookmarkEnd w:id="25"/>
      <w:bookmarkEnd w:id="26"/>
      <w:bookmarkEnd w:id="27"/>
      <w:bookmarkEnd w:id="28"/>
      <w:bookmarkEnd w:id="29"/>
      <w:bookmarkEnd w:id="30"/>
      <w:bookmarkEnd w:id="31"/>
      <w:bookmarkEnd w:id="32"/>
    </w:p>
    <w:p>
      <w:pPr>
        <w:pStyle w:val="6"/>
        <w:numPr>
          <w:ilvl w:val="0"/>
          <w:numId w:val="4"/>
        </w:numPr>
        <w:ind w:firstLine="600"/>
      </w:pPr>
      <w:r>
        <w:rPr>
          <w:rFonts w:hint="eastAsia"/>
          <w:szCs w:val="22"/>
        </w:rPr>
        <w:t>机构信息表</w:t>
      </w:r>
    </w:p>
    <w:tbl>
      <w:tblPr>
        <w:tblStyle w:val="28"/>
        <w:tblW w:w="842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531"/>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5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JGXXB</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0101</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本表报送财产保险公司注册信息。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5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注册地区</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ZCDQ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保险公司注册地行政区划的名称，对应《业务代码表》中的“县及县以上行政区划”，填报中文描述。例如：北京市东城区、天津市和平区、河北省石家庄市长安区等。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注册地址</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ZCDZ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保险公司注册详细地址。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注册资本</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ZCZB</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保险公司在工商机关注册时的资本金额，单位元（人民币）。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法定代表人</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FDDBR</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填写法定代表人姓名，应与工商注册的姓名一致。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工商注册日期</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GSZCRQ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以工商注册的成立日期为准。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经营范围</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JYFW</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经营范围，应与工商注册中的经营范围一致。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实际控制人标志</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SJKZRBZ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保险公司内部是否有实际控制人，填报中文描述：是，否。实际控制人指虽不是公司的股东，但通过投资关系、协议或者其他安排，能够实际支配公司行为的人。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实际控制人机构标志</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SJKZRJGBZ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实际控制人是否为机构的标志。填报中文描述：是，否。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实际控制人名称</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SJKZRMC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填写实际控制人名称，实际控制人为自然人时填报自然人姓名，为机构时填报机构全称。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机构实际控制人证件类型</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JGSJKZRZJLX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实际控制人为机构时必填。机构实际控制人的证件类型，对应《业务代码表》中的“机构证件类型”，填报中文描述。例如：统一社会信用代码、组织机构代码证等。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个人实际控制人证件类型</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GRSJKZRZJLX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实际控制人为自然人时必填。个人实际控制人证件类型，对应《业务代码表》中的“个人身份证件类型”，填报中文描述。例如：居民身份证、军人身份证件、护照、出生医学证明等。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实际控制人证件号码</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SJKZRZJHM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包括机构实际控制人和自然人实际控制人的证件号码。若为自然人证件号码，隐私，财产保险公司变形。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保险许可证机构编码</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BXXKZJGBM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中国银保监会统一设计和印制，授权给保险公司经营保险业务的许可证上记录的机构编码。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全球法人机构识别编码</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QQFRJGSBBM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003011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LEI是按照国际标准化组织ISO 17442标准为全球法人分配的唯一识别编码，LEI编码是由20位数字和字母组成的唯一编码。我国LEI编码包括前缀码部分、预留位部分、机构特定部分和校验位四部分。</w:t>
            </w:r>
          </w:p>
        </w:tc>
      </w:tr>
    </w:tbl>
    <w:p/>
    <w:p>
      <w:pPr>
        <w:pStyle w:val="6"/>
        <w:numPr>
          <w:ilvl w:val="0"/>
          <w:numId w:val="4"/>
        </w:numPr>
        <w:ind w:firstLine="600"/>
      </w:pPr>
      <w:r>
        <w:rPr>
          <w:rFonts w:hint="eastAsia"/>
          <w:szCs w:val="22"/>
        </w:rPr>
        <w:t>股权信息表</w:t>
      </w:r>
    </w:p>
    <w:tbl>
      <w:tblPr>
        <w:tblStyle w:val="28"/>
        <w:tblW w:w="842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531"/>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5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GQXXB</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股权信息表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0102</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本表报送财产保险公司所有股权组成信息，对于上市公司仅报送持股</w:t>
            </w:r>
            <w:r>
              <w:rPr>
                <w:rFonts w:ascii="宋体" w:hAnsi="宋体" w:cs="宋体"/>
                <w:color w:val="000000"/>
                <w:kern w:val="0"/>
                <w:szCs w:val="21"/>
              </w:rPr>
              <w:t>5%及以上的机构及个人股东信息。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5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股东编号</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股东在本保险公司的唯一标识。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股东持股类型</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GDCGLX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xml:space="preserve">根据持股比例、资质条件和对保险公司经营管理的影响，根据《保险公司股权管理办法》（保监会令〔2018〕5号 ）保险公司股东分为四类，填报中文描述。包括： </w:t>
            </w:r>
            <w:r>
              <w:rPr>
                <w:rFonts w:hint="eastAsia" w:ascii="宋体" w:hAnsi="宋体" w:cs="宋体"/>
                <w:color w:val="000000"/>
                <w:kern w:val="0"/>
                <w:szCs w:val="21"/>
              </w:rPr>
              <w:br w:type="textWrapping"/>
            </w:r>
            <w:r>
              <w:rPr>
                <w:rFonts w:hint="eastAsia" w:ascii="宋体" w:hAnsi="宋体" w:cs="宋体"/>
                <w:color w:val="000000"/>
                <w:kern w:val="0"/>
                <w:szCs w:val="21"/>
              </w:rPr>
              <w:t>财务Ⅰ类股东</w:t>
            </w:r>
            <w:r>
              <w:rPr>
                <w:rFonts w:hint="eastAsia" w:ascii="宋体" w:hAnsi="宋体" w:cs="宋体"/>
                <w:color w:val="000000"/>
                <w:kern w:val="0"/>
                <w:szCs w:val="21"/>
              </w:rPr>
              <w:br w:type="textWrapping"/>
            </w:r>
            <w:r>
              <w:rPr>
                <w:rFonts w:hint="eastAsia" w:ascii="宋体" w:hAnsi="宋体" w:cs="宋体"/>
                <w:color w:val="000000"/>
                <w:kern w:val="0"/>
                <w:szCs w:val="21"/>
              </w:rPr>
              <w:t xml:space="preserve">财务Ⅱ类股东 </w:t>
            </w:r>
            <w:r>
              <w:rPr>
                <w:rFonts w:hint="eastAsia" w:ascii="宋体" w:hAnsi="宋体" w:cs="宋体"/>
                <w:color w:val="000000"/>
                <w:kern w:val="0"/>
                <w:szCs w:val="21"/>
              </w:rPr>
              <w:br w:type="textWrapping"/>
            </w:r>
            <w:r>
              <w:rPr>
                <w:rFonts w:hint="eastAsia" w:ascii="宋体" w:hAnsi="宋体" w:cs="宋体"/>
                <w:color w:val="000000"/>
                <w:kern w:val="0"/>
                <w:szCs w:val="21"/>
              </w:rPr>
              <w:t xml:space="preserve">战略类股东 </w:t>
            </w:r>
            <w:r>
              <w:rPr>
                <w:rFonts w:hint="eastAsia" w:ascii="宋体" w:hAnsi="宋体" w:cs="宋体"/>
                <w:color w:val="000000"/>
                <w:kern w:val="0"/>
                <w:szCs w:val="21"/>
              </w:rPr>
              <w:br w:type="textWrapping"/>
            </w:r>
            <w:r>
              <w:rPr>
                <w:rFonts w:hint="eastAsia" w:ascii="宋体" w:hAnsi="宋体" w:cs="宋体"/>
                <w:color w:val="000000"/>
                <w:kern w:val="0"/>
                <w:szCs w:val="21"/>
              </w:rPr>
              <w:t>控制类股东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股东类型</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GDLX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按照股东自然人或机构属性，填报中文描述。包括：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自然人</w:t>
            </w:r>
            <w:r>
              <w:rPr>
                <w:rFonts w:hint="eastAsia" w:ascii="宋体" w:hAnsi="宋体" w:cs="宋体"/>
                <w:color w:val="000000"/>
                <w:kern w:val="0"/>
                <w:szCs w:val="21"/>
              </w:rPr>
              <w:br w:type="textWrapping"/>
            </w:r>
            <w:r>
              <w:rPr>
                <w:rFonts w:hint="eastAsia" w:ascii="宋体" w:hAnsi="宋体" w:cs="宋体"/>
                <w:color w:val="000000"/>
                <w:kern w:val="0"/>
                <w:szCs w:val="21"/>
              </w:rPr>
              <w:t>机构股东</w:t>
            </w:r>
            <w:r>
              <w:rPr>
                <w:rFonts w:hint="eastAsia" w:ascii="宋体" w:hAnsi="宋体" w:cs="宋体"/>
                <w:color w:val="000000"/>
                <w:kern w:val="0"/>
                <w:szCs w:val="21"/>
              </w:rPr>
              <w:br w:type="textWrapping"/>
            </w:r>
            <w:r>
              <w:rPr>
                <w:rFonts w:hint="eastAsia" w:ascii="宋体" w:hAnsi="宋体" w:cs="宋体"/>
                <w:color w:val="000000"/>
                <w:kern w:val="0"/>
                <w:szCs w:val="21"/>
              </w:rPr>
              <w:t>境内企业法人</w:t>
            </w:r>
            <w:r>
              <w:rPr>
                <w:rFonts w:hint="eastAsia" w:ascii="宋体" w:hAnsi="宋体" w:cs="宋体"/>
                <w:color w:val="000000"/>
                <w:kern w:val="0"/>
                <w:szCs w:val="21"/>
              </w:rPr>
              <w:br w:type="textWrapping"/>
            </w:r>
            <w:r>
              <w:rPr>
                <w:rFonts w:hint="eastAsia" w:ascii="宋体" w:hAnsi="宋体" w:cs="宋体"/>
                <w:color w:val="000000"/>
                <w:kern w:val="0"/>
                <w:szCs w:val="21"/>
              </w:rPr>
              <w:t>境内有限合伙企业</w:t>
            </w:r>
            <w:r>
              <w:rPr>
                <w:rFonts w:hint="eastAsia" w:ascii="宋体" w:hAnsi="宋体" w:cs="宋体"/>
                <w:color w:val="000000"/>
                <w:kern w:val="0"/>
                <w:szCs w:val="21"/>
              </w:rPr>
              <w:br w:type="textWrapping"/>
            </w:r>
            <w:r>
              <w:rPr>
                <w:rFonts w:hint="eastAsia" w:ascii="宋体" w:hAnsi="宋体" w:cs="宋体"/>
                <w:color w:val="000000"/>
                <w:kern w:val="0"/>
                <w:szCs w:val="21"/>
              </w:rPr>
              <w:t>境内事业单位、社会团体</w:t>
            </w:r>
            <w:r>
              <w:rPr>
                <w:rFonts w:hint="eastAsia" w:ascii="宋体" w:hAnsi="宋体" w:cs="宋体"/>
                <w:color w:val="000000"/>
                <w:kern w:val="0"/>
                <w:szCs w:val="21"/>
              </w:rPr>
              <w:br w:type="textWrapping"/>
            </w:r>
            <w:r>
              <w:rPr>
                <w:rFonts w:hint="eastAsia" w:ascii="宋体" w:hAnsi="宋体" w:cs="宋体"/>
                <w:color w:val="000000"/>
                <w:kern w:val="0"/>
                <w:szCs w:val="21"/>
              </w:rPr>
              <w:t>境外金融机构</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股东名称</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GDMC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填写保险公司股东名称。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机构股东证件类型</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JGGDZJLX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股东类型为非自然人时，必填。机构股东证件类型优先填报统一社会信用代码，对应《业务代码表》中的“机构证件类型”，填报中文描述。例如：统一社会信用代码、组织机构代码证等。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个人股东证件类型</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GRGDZJLX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股东类型为自然人时，必填。个人股东证件类型，对应《业务代码表》中的“个人身份证件类型”，填报中文描述。例如：居民身份证、军人身份证件、护照、出生医学证明等。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股东证件号码</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GDZJHM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股东的证件号码。若为自然人证件号码，隐私，财产保险公司变形。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出资日期</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CZRQ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该股东最近一次持股份额变化的日期。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股东业务或经营范围</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GDYWHJYFW</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股东为非自然人时，必填。填写经营范围，应与工商注册中的经营范围一致。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持股比例</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CGBL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保留4位小数。若涉及到百分比，例如12.34%填写为0.1234。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股东行业分类</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GDHYFL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013003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股东为非自然人时，必填。按股东所从事的生产经营活动或其他社会经济活动的性质进行行业分类，对应《业务代码表》中的“国民经济行业分类”，填报中文描述。例如：农业、林业等。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工商注册日期</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GSZCRQ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股东为非自然人时，必填。股东机构的工商注册日期。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注册资本</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ZCZB</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股东为非自然人时，必填。股东机构的工商注册金额。单位为：元（人民币）。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注册地区</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ZCDQ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股东为非自然人时，必填。股东机构的工商注册地区。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注册地址</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ZCDZ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股东为非自然人时，必填。股东机构的详细注册地址。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实际控制人标志</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SJKZRBZ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非自然人股东是否有实际控制人，填报中文描述：是，否。实际控制人指虽不是公司的股东，但通过投资关系、协议或者其他安排，能够实际支配公司行为的人。股东类型为非自然人时，必填。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实际控制人机构标志</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SJKZRJGBZ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非自然人股东实际控制人是否为机构的标志。填报中文描述：是，否。股东类型为非自然人时，必填。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实际控制人名称</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SJKZRMC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非自然人股东实际控制人名称，实际控制人为自然人时填报自然人姓名，为机构时填报机构全称。股东类型为非自然人时，必填。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机构实际控制人证件类型</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JGSJKZRZJLX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实际控制人为非自然人时，必填。实际控制人机构证件类型优先填报统一社会信用代码，对应《业务代码表》中的“机构证件类型”，填报中文描述。例如：统一社会信用代码、组织机构代码证等。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个人实际控制人证件类型</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GRSJKZRZJLX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若实际控制人为自然人，必填。实际控制人证件类型，对应《业务代码表》中的“个人身份证件类型”，填报中文描述。例如：居民身份证、军人身份证件、护照、出生医学证明等。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实际控制人证件号码</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SJKZRZJHM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实际控制人的证件号码。若为自然人证件号码，隐私，财产保险公司变形。股东类型为非自然人时，必填。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股东状态有效标志</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GDZTYXBZ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默认状态为有效；当原股东退出后，需要删除一条股东信息时，状态更新为失效。填报中文描述：是，否。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一致行动人标志</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YZXDRBZ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股东是否与其他保险公司股东构成一致行动人，填报中文描述：是，否。一致行动人是指投资者通过协议、其他安排，与其他投资者共同扩大其所能够支配的一个公司股份表决权数量的行为或者事实。达成一致行动的相关投资者，为一致行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一致行动人组别</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YZXDRZB</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填写该股东与其他保险公司股东构成一致行动人的组别。组别用数字填写。例如：保险公司有6个股东，分别是A B C D E F，其中A B C三方为一致行动人，D E两方为另一组一致行动人，则A B C的一致行动人组别填写1，D E的一致行动人组别填写2。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股权质押数量</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GQZYSL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截至采集日期当日，股东质押的股份数量。若无质押，则填0。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股权质押比例</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GQZYBL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保留4位小数。若涉及百分比，例如12.34%填写为0.1234。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股权冻结数量</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GQDJSL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已冻结的股权数量。若无冻结，则填0。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股权冻结比例</w:t>
            </w:r>
          </w:p>
        </w:tc>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GQDJBL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保留4位小数。若涉及百分比，例如12.34%填写为0.1234。</w:t>
            </w:r>
          </w:p>
        </w:tc>
      </w:tr>
    </w:tbl>
    <w:p>
      <w:pPr>
        <w:pStyle w:val="44"/>
        <w:spacing w:line="560" w:lineRule="exact"/>
        <w:rPr>
          <w:rFonts w:ascii="Calibri" w:hAnsi="Calibri"/>
          <w:szCs w:val="22"/>
        </w:rPr>
      </w:pPr>
    </w:p>
    <w:p>
      <w:pPr>
        <w:pStyle w:val="6"/>
        <w:numPr>
          <w:ilvl w:val="0"/>
          <w:numId w:val="4"/>
        </w:numPr>
        <w:ind w:firstLine="600"/>
        <w:rPr>
          <w:szCs w:val="22"/>
        </w:rPr>
      </w:pPr>
      <w:r>
        <w:rPr>
          <w:rFonts w:hint="eastAsia"/>
          <w:szCs w:val="22"/>
        </w:rPr>
        <w:t>分支机构信息表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FZJGXXB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分支机构信息表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0103</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本表报送财产保险公司总部及分支机构信息，总公司需作为分支机构第</w:t>
            </w:r>
            <w:r>
              <w:rPr>
                <w:rFonts w:ascii="宋体" w:hAnsi="宋体" w:cs="宋体"/>
                <w:color w:val="000000"/>
                <w:kern w:val="0"/>
                <w:szCs w:val="21"/>
              </w:rPr>
              <w:t>1层级进行报送。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分支机构代码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保险公司分支机构的内部编码。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分支机构名称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保险公司分支机构的名称，应与公章所使用的名称完全一致。保险机构以银保监会金融机构许可证登记名称为准。无独立金融机构许可证的机构，可在本名称中体现出机构特征，如XX营销服务部。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分支机构状态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FZJGZT</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保险公司分支机构当前经营状态，对应《业务代码表》中的“经营状态”，填报中文描述。例如：存续、在业、吊销、改建等。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分支机构成立日期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FZJGCLRQ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营业执照上登记的成立日期。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统一社会信用代码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TYSHXYDM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保险公司分支机构的统一社会信用代码，是一组长度为18位的用于法人和其他组织身份识别的代码。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监管辖区</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JGXQ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该分支机构机构归属的监管辖区名称，包含31个省和5个计划单列市，对应《业务代码表》中的“监管辖区”，填报中文描述。例如：北京。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管理机构代码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负责向所属监管辖区银保监局报送数据的机构代码，如果是新成立的机构，其机构代码未包含在《业务代码表》中的“保险分支机构代码”中，则报送银保监会批准的新分支机构代码。对应《业务代码表》中的“保险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管理机构名称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负责向所属监管辖区银保监局报送数据的机构，如果是新成立的机构，其机构未包含在《业务代码表》中的“保险分支机构代码”中，则报送银保监会批准的新分支机构名称。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分支机构地址</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FZJGDZ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以机构营业执照登记地址为准。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分支机构层级</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FZJGCJ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分支机构的层级，填报中文描述。包括：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总公司</w:t>
            </w:r>
            <w:r>
              <w:rPr>
                <w:rFonts w:hint="eastAsia" w:ascii="宋体" w:hAnsi="宋体" w:cs="宋体"/>
                <w:color w:val="000000"/>
                <w:kern w:val="0"/>
                <w:szCs w:val="21"/>
              </w:rPr>
              <w:br w:type="textWrapping"/>
            </w:r>
            <w:r>
              <w:rPr>
                <w:rFonts w:hint="eastAsia" w:ascii="宋体" w:hAnsi="宋体" w:cs="宋体"/>
                <w:color w:val="000000"/>
                <w:kern w:val="0"/>
                <w:szCs w:val="21"/>
              </w:rPr>
              <w:t>分公司</w:t>
            </w:r>
            <w:r>
              <w:rPr>
                <w:rFonts w:hint="eastAsia" w:ascii="宋体" w:hAnsi="宋体" w:cs="宋体"/>
                <w:color w:val="000000"/>
                <w:kern w:val="0"/>
                <w:szCs w:val="21"/>
              </w:rPr>
              <w:br w:type="textWrapping"/>
            </w:r>
            <w:r>
              <w:rPr>
                <w:rFonts w:hint="eastAsia" w:ascii="宋体" w:hAnsi="宋体" w:cs="宋体"/>
                <w:color w:val="000000"/>
                <w:kern w:val="0"/>
                <w:szCs w:val="21"/>
              </w:rPr>
              <w:t>中心支公司</w:t>
            </w:r>
            <w:r>
              <w:rPr>
                <w:rFonts w:hint="eastAsia" w:ascii="宋体" w:hAnsi="宋体" w:cs="宋体"/>
                <w:color w:val="000000"/>
                <w:kern w:val="0"/>
                <w:szCs w:val="21"/>
              </w:rPr>
              <w:br w:type="textWrapping"/>
            </w:r>
            <w:r>
              <w:rPr>
                <w:rFonts w:hint="eastAsia" w:ascii="宋体" w:hAnsi="宋体" w:cs="宋体"/>
                <w:color w:val="000000"/>
                <w:kern w:val="0"/>
                <w:szCs w:val="21"/>
              </w:rPr>
              <w:t>支公司</w:t>
            </w:r>
            <w:r>
              <w:rPr>
                <w:rFonts w:hint="eastAsia" w:ascii="宋体" w:hAnsi="宋体" w:cs="宋体"/>
                <w:color w:val="000000"/>
                <w:kern w:val="0"/>
                <w:szCs w:val="21"/>
              </w:rPr>
              <w:br w:type="textWrapping"/>
            </w:r>
            <w:r>
              <w:rPr>
                <w:rFonts w:hint="eastAsia" w:ascii="宋体" w:hAnsi="宋体" w:cs="宋体"/>
                <w:color w:val="000000"/>
                <w:kern w:val="0"/>
                <w:szCs w:val="21"/>
              </w:rPr>
              <w:t>营业部或营销服务部</w:t>
            </w:r>
            <w:r>
              <w:rPr>
                <w:rFonts w:hint="eastAsia" w:ascii="宋体" w:hAnsi="宋体" w:cs="宋体"/>
                <w:color w:val="000000"/>
                <w:kern w:val="0"/>
                <w:szCs w:val="21"/>
              </w:rPr>
              <w:br w:type="textWrapping"/>
            </w:r>
            <w:r>
              <w:rPr>
                <w:rFonts w:hint="eastAsia" w:ascii="宋体" w:hAnsi="宋体" w:cs="宋体"/>
                <w:color w:val="000000"/>
                <w:kern w:val="0"/>
                <w:szCs w:val="21"/>
              </w:rPr>
              <w:t>电话销售专属机构</w:t>
            </w:r>
            <w:r>
              <w:rPr>
                <w:rFonts w:hint="eastAsia" w:ascii="宋体" w:hAnsi="宋体" w:cs="宋体"/>
                <w:color w:val="000000"/>
                <w:kern w:val="0"/>
                <w:szCs w:val="21"/>
              </w:rPr>
              <w:br w:type="textWrapping"/>
            </w:r>
            <w:r>
              <w:rPr>
                <w:rFonts w:hint="eastAsia" w:ascii="宋体" w:hAnsi="宋体" w:cs="宋体"/>
                <w:color w:val="000000"/>
                <w:kern w:val="0"/>
                <w:szCs w:val="21"/>
              </w:rPr>
              <w:t>其他专属机构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上级机构代码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该机构的直属上级机构，保险公司分支机构内部编码。若为最高级机构，填0。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保险许可证机构编码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BXXKZJGBM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中国银保监会统一设计和印制，授权给保险公司经营保险业务的许可证上记录的机构编码。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许可证发放日期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XKZFFRQ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保险许可证号的发放日期。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许可证注销日期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XKZZXRQ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保险许可证号的注销日期，如未注销，填写默认值99991231。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负责人代码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FZRDM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分支机构实际经营负责人代码，对应到员工信息表的员工代码数据项。关联数据项：员工信息表-员工代码。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违法违规记录</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WFWGJL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分支机构最近2年违法违规情况说明，包括分支机构受到人民银行/银保监会/银保监局/政府执法部门的行政处罚。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经营范围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JYFW</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经营范围，应与工商注册中的经营范围一致。</w:t>
            </w:r>
          </w:p>
        </w:tc>
      </w:tr>
    </w:tbl>
    <w:p/>
    <w:p>
      <w:pPr>
        <w:pStyle w:val="6"/>
        <w:numPr>
          <w:ilvl w:val="0"/>
          <w:numId w:val="4"/>
        </w:numPr>
        <w:ind w:firstLine="600"/>
        <w:rPr>
          <w:szCs w:val="22"/>
        </w:rPr>
      </w:pPr>
      <w:r>
        <w:rPr>
          <w:rFonts w:hint="eastAsia"/>
          <w:szCs w:val="22"/>
        </w:rPr>
        <w:t>中介机构信息表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5"/>
        <w:gridCol w:w="1559"/>
        <w:gridCol w:w="843"/>
        <w:gridCol w:w="718"/>
        <w:gridCol w:w="718"/>
        <w:gridCol w:w="3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3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55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92"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ZJJGXXB</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中介机构信息表</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0104</w:t>
            </w:r>
          </w:p>
        </w:tc>
        <w:tc>
          <w:tcPr>
            <w:tcW w:w="4592"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本表报送财产保险公司总部及分支机构合作的中介机构信息。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3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55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5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中介机构代码</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ZJJGDM</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保险公司为中介机构定义的内部编码。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所属分支机构代码</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SSFZJGDM</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对应到分支机构信息表的分支机构代码数据项。关联数据项：分支机构信息表-分支机构代码。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中介机构名称</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ZJJGMC</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中介机构名称，应与公章所使用的名称完全一致。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中介机构地址</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ZJJGDZ</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中介机构营业执照登记地址。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中介机构类别</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ZJJGLB</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中介机构经营性质分类，对应《业务代码表》中的“中介机构类别”，填报中文描述。例如：保险专业代理机构、保险经纪机构等。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中介机构统一编码</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ZJJGTYBM</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001030</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中介机构在中介监管系统中登记的机构编码，若该机构是法人机构，则取法人机构编码，非法人机构取网点机构编码。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中介机构证件类型</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ZJJGZJLX</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中介机构证件号码</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ZJJGZJHM</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中介机构的证件号码。若为自然人证件号码，隐私，财产保险公司变形。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中介业务许可证号</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ZJYWXKZH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填写经营保险代理、兼业代理、经纪业务许可证左上角的红色流水号。对于银行分支机构作为兼业中介机构报送总行对其的授权号。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中介业务许可证名称</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ZJYWXKZMC</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中介机构经营业务许可证名称。兼业代理机构报送兼业代理许可证名称。保险公司若存在与中介机构的分支机构合作的情况，应报送中介法人机构的许可证相关信息。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中介许可证起期</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ZJXKZQQ</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许可证的生效日期。如换新证，采用新证生效日期。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中介许可证到期日</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ZJXKZDQR</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许可证到期日期。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经纪业务标志</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JJYWBZ</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当中介机构类别为保险经纪机构时需填写经营业务是否属于经纪业务，填报中文描述：是，否。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签约日期</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QYRQ1</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保险公司与中介机构最近一次签署合作协议的日期。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协议到期日或解约日期</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XYDQRHJYRQ</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保险公司与中介机构约定的合作协议终止的日期。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业务范围</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YWFW</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中介机构业务许可证中的业务范围。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经营区域</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JYQY</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中介机构业务许可证中的地域范围。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中介机构法人姓名</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ZJJGFRXM</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中介机构法人的姓名，应与身份证或护照使用的姓名完全一致。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违法违规记录</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WFWGJL</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中介机构最近2年违法违规情况说明，包括中介机构受到人民银行/银保监会/银保监局/政府执法部门的行政处罚。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银行名称</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YHMC</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001038</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中介机构的开户行名称。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银行账号</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中介机构开户银行的账号。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银行账户名称</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YHZHMC</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001040</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中介机构的银行账户名称。</w:t>
            </w:r>
          </w:p>
        </w:tc>
      </w:tr>
    </w:tbl>
    <w:p/>
    <w:p>
      <w:pPr>
        <w:pStyle w:val="6"/>
        <w:numPr>
          <w:ilvl w:val="0"/>
          <w:numId w:val="4"/>
        </w:numPr>
        <w:ind w:firstLine="600"/>
        <w:rPr>
          <w:szCs w:val="22"/>
        </w:rPr>
      </w:pPr>
      <w:r>
        <w:rPr>
          <w:rFonts w:hint="eastAsia"/>
          <w:szCs w:val="22"/>
        </w:rPr>
        <w:t>中介机构签约信息表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ZJJGQYXXB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中介机构签约信息表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0105</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本表报送财产保险公司总部及分支机构与合作的中介机构签约的险种及费率信息。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分支机构代码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保险公司分支机构的内部编码。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分支机构名称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保险公司分支机构的名称，应与公章所使用的名称完全一致。保险机构以银保监会金融机构许可证登记名称为准。无独立金融机构许可证的机构，可在本名称中体现出机构特征，如XX营销服务部。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保险公司为中介机构定义的内部编码。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中介机构名称，应与公章所使用的名称完全一致。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签约险类</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QYXL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与中介机构签约的保险产品的险种分类，对应《业务代码表》中的“险类”，填报中文描述。例如：机动车辆保险-机动车商业保险（非强制保险）-机动车商业三者险、机动车辆保险-交强险（法定强制保险）、企业财产保险、特殊风险财产保险-航空保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签约手续费率</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QYSXFL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保险机构与中介机构签约的不同保险产品的对应的签约手续费率。</w:t>
            </w:r>
          </w:p>
        </w:tc>
      </w:tr>
    </w:tbl>
    <w:p/>
    <w:p>
      <w:pPr>
        <w:pStyle w:val="6"/>
        <w:numPr>
          <w:ilvl w:val="0"/>
          <w:numId w:val="4"/>
        </w:numPr>
        <w:ind w:firstLine="600"/>
        <w:rPr>
          <w:szCs w:val="22"/>
        </w:rPr>
      </w:pPr>
      <w:r>
        <w:rPr>
          <w:rFonts w:hint="eastAsia"/>
          <w:szCs w:val="22"/>
        </w:rPr>
        <w:t>员工信息表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YGXXB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员工信息表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0106</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本表报送财产保险公司总部及分支机构所有与公司签订劳动合同的员工信息，包括在岗和离职员工。董事、监事、高管等人员信息应包含在内。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员工代码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保险公司自行定义的员工编号，具有唯一性。一般由英文字母、数字、常见字符组成。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所属分支机构代码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SSFZJGDM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员工所属分支机构的代码。关联数据项：分支机构信息表-分支机构代码。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员工姓名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YGXM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员工身份证或护照的姓名。隐私，财产保险公司变形。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性别</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XB</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员工性别，填报中文描述。包括：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未知的性别</w:t>
            </w:r>
            <w:r>
              <w:rPr>
                <w:rFonts w:hint="eastAsia" w:ascii="宋体" w:hAnsi="宋体" w:cs="宋体"/>
                <w:color w:val="000000"/>
                <w:kern w:val="0"/>
                <w:szCs w:val="21"/>
              </w:rPr>
              <w:br w:type="textWrapping"/>
            </w:r>
            <w:r>
              <w:rPr>
                <w:rFonts w:hint="eastAsia" w:ascii="宋体" w:hAnsi="宋体" w:cs="宋体"/>
                <w:color w:val="000000"/>
                <w:kern w:val="0"/>
                <w:szCs w:val="21"/>
              </w:rPr>
              <w:t>男性</w:t>
            </w:r>
            <w:r>
              <w:rPr>
                <w:rFonts w:hint="eastAsia" w:ascii="宋体" w:hAnsi="宋体" w:cs="宋体"/>
                <w:color w:val="000000"/>
                <w:kern w:val="0"/>
                <w:szCs w:val="21"/>
              </w:rPr>
              <w:br w:type="textWrapping"/>
            </w:r>
            <w:r>
              <w:rPr>
                <w:rFonts w:hint="eastAsia" w:ascii="宋体" w:hAnsi="宋体" w:cs="宋体"/>
                <w:color w:val="000000"/>
                <w:kern w:val="0"/>
                <w:szCs w:val="21"/>
              </w:rPr>
              <w:t>女性</w:t>
            </w:r>
            <w:r>
              <w:rPr>
                <w:rFonts w:hint="eastAsia" w:ascii="宋体" w:hAnsi="宋体" w:cs="宋体"/>
                <w:color w:val="000000"/>
                <w:kern w:val="0"/>
                <w:szCs w:val="21"/>
              </w:rPr>
              <w:br w:type="textWrapping"/>
            </w:r>
            <w:r>
              <w:rPr>
                <w:rFonts w:hint="eastAsia" w:ascii="宋体" w:hAnsi="宋体" w:cs="宋体"/>
                <w:color w:val="000000"/>
                <w:kern w:val="0"/>
                <w:szCs w:val="21"/>
              </w:rPr>
              <w:t>未说明的性别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民族</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员工的民族。国家认可的在公安户籍管理部门正式登记注册的客户所属民族，对应《业务代码表》中的“民族”，填报中文描述。例如：汉族、蒙古族、回族、藏族等。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出生日期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员工出生日期。隐私，暂不取。公司需在本地保留原文数据，并报送99991231。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政治面貌</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ZZMM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保险公司员工的政治面貌，对应《业务代码表》中的“政治面貌”，填报中文描述。例如：中国共产党党员、中国共产党预备党员、中国共产主义青年团团员、群众等。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参加政党日期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CJZDRQ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参加政党的日期。YYYYMM，默认值999912。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证件类型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员工的证件类型，对应《业务代码表》中的“个人身份证件类型”，填报中文描述。例如：居民身份证、军人身份证件、护照、出生医学证明等。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证件号码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ZJHM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身份证号、护照号、军官证号等有效证件号码。隐私，财产保险公司变形。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联系电话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LXDH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员工联系电话，区号-座机电话/手机。隐私，暂不取。公司需在本地保留原文数据，并报送“隐私”。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学历</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XL1</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员工学历，对应《业务代码表》中的“学历”，填报中文描述。例如：研究生教育、大学本科教育、大学专科教育。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专业技术资格</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ZYJSZG</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员工专业技术资格等级，填报中文描述。包括：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高级技术资格人员</w:t>
            </w:r>
            <w:r>
              <w:rPr>
                <w:rFonts w:hint="eastAsia" w:ascii="宋体" w:hAnsi="宋体" w:cs="宋体"/>
                <w:color w:val="000000"/>
                <w:kern w:val="0"/>
                <w:szCs w:val="21"/>
              </w:rPr>
              <w:br w:type="textWrapping"/>
            </w:r>
            <w:r>
              <w:rPr>
                <w:rFonts w:hint="eastAsia" w:ascii="宋体" w:hAnsi="宋体" w:cs="宋体"/>
                <w:color w:val="000000"/>
                <w:kern w:val="0"/>
                <w:szCs w:val="21"/>
              </w:rPr>
              <w:t>中级技术资格人员</w:t>
            </w:r>
            <w:r>
              <w:rPr>
                <w:rFonts w:hint="eastAsia" w:ascii="宋体" w:hAnsi="宋体" w:cs="宋体"/>
                <w:color w:val="000000"/>
                <w:kern w:val="0"/>
                <w:szCs w:val="21"/>
              </w:rPr>
              <w:br w:type="textWrapping"/>
            </w:r>
            <w:r>
              <w:rPr>
                <w:rFonts w:hint="eastAsia" w:ascii="宋体" w:hAnsi="宋体" w:cs="宋体"/>
                <w:color w:val="000000"/>
                <w:kern w:val="0"/>
                <w:szCs w:val="21"/>
              </w:rPr>
              <w:t>初级技术资格人员</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2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董监高标志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DJGBZ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是否属于银保监会监管的董事、监事、高管范围，填报中文描述。包括：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员工</w:t>
            </w:r>
            <w:r>
              <w:rPr>
                <w:rFonts w:hint="eastAsia" w:ascii="宋体" w:hAnsi="宋体" w:cs="宋体"/>
                <w:color w:val="000000"/>
                <w:kern w:val="0"/>
                <w:szCs w:val="21"/>
              </w:rPr>
              <w:br w:type="textWrapping"/>
            </w:r>
            <w:r>
              <w:rPr>
                <w:rFonts w:hint="eastAsia" w:ascii="宋体" w:hAnsi="宋体" w:cs="宋体"/>
                <w:color w:val="000000"/>
                <w:kern w:val="0"/>
                <w:szCs w:val="21"/>
              </w:rPr>
              <w:t>董事</w:t>
            </w:r>
            <w:r>
              <w:rPr>
                <w:rFonts w:hint="eastAsia" w:ascii="宋体" w:hAnsi="宋体" w:cs="宋体"/>
                <w:color w:val="000000"/>
                <w:kern w:val="0"/>
                <w:szCs w:val="21"/>
              </w:rPr>
              <w:br w:type="textWrapping"/>
            </w:r>
            <w:r>
              <w:rPr>
                <w:rFonts w:hint="eastAsia" w:ascii="宋体" w:hAnsi="宋体" w:cs="宋体"/>
                <w:color w:val="000000"/>
                <w:kern w:val="0"/>
                <w:szCs w:val="21"/>
              </w:rPr>
              <w:t>监事</w:t>
            </w:r>
            <w:r>
              <w:rPr>
                <w:rFonts w:hint="eastAsia" w:ascii="宋体" w:hAnsi="宋体" w:cs="宋体"/>
                <w:color w:val="000000"/>
                <w:kern w:val="0"/>
                <w:szCs w:val="21"/>
              </w:rPr>
              <w:br w:type="textWrapping"/>
            </w:r>
            <w:r>
              <w:rPr>
                <w:rFonts w:hint="eastAsia" w:ascii="宋体" w:hAnsi="宋体" w:cs="宋体"/>
                <w:color w:val="000000"/>
                <w:kern w:val="0"/>
                <w:szCs w:val="21"/>
              </w:rPr>
              <w:t>高管</w:t>
            </w:r>
            <w:r>
              <w:rPr>
                <w:rFonts w:hint="eastAsia" w:ascii="宋体" w:hAnsi="宋体" w:cs="宋体"/>
                <w:color w:val="000000"/>
                <w:kern w:val="0"/>
                <w:szCs w:val="21"/>
              </w:rPr>
              <w:br w:type="textWrapping"/>
            </w:r>
            <w:r>
              <w:rPr>
                <w:rFonts w:hint="eastAsia" w:ascii="宋体" w:hAnsi="宋体" w:cs="宋体"/>
                <w:color w:val="000000"/>
                <w:kern w:val="0"/>
                <w:szCs w:val="21"/>
              </w:rPr>
              <w:t>高管范围参照《保险公司董事、监事和高级管理人员任职资格管理规定》第一章第四条：本规定所称高级管理人员，是指对保险机构经营管理活动和风险控制具有决策权或者重大影响的下列人员：</w:t>
            </w:r>
            <w:r>
              <w:rPr>
                <w:rFonts w:hint="eastAsia" w:ascii="宋体" w:hAnsi="宋体" w:cs="宋体"/>
                <w:color w:val="000000"/>
                <w:kern w:val="0"/>
                <w:szCs w:val="21"/>
              </w:rPr>
              <w:br w:type="textWrapping"/>
            </w:r>
            <w:r>
              <w:rPr>
                <w:rFonts w:hint="eastAsia" w:ascii="宋体" w:hAnsi="宋体" w:cs="宋体"/>
                <w:color w:val="000000"/>
                <w:kern w:val="0"/>
                <w:szCs w:val="21"/>
              </w:rPr>
              <w:t>　　（一）总公司总经理、副总经理和总经理助理；</w:t>
            </w:r>
            <w:r>
              <w:rPr>
                <w:rFonts w:hint="eastAsia" w:ascii="宋体" w:hAnsi="宋体" w:cs="宋体"/>
                <w:color w:val="000000"/>
                <w:kern w:val="0"/>
                <w:szCs w:val="21"/>
              </w:rPr>
              <w:br w:type="textWrapping"/>
            </w:r>
            <w:r>
              <w:rPr>
                <w:rFonts w:hint="eastAsia" w:ascii="宋体" w:hAnsi="宋体" w:cs="宋体"/>
                <w:color w:val="000000"/>
                <w:kern w:val="0"/>
                <w:szCs w:val="21"/>
              </w:rPr>
              <w:t>　　（二）总公司董事会秘书、合规负责人、总精算师、财务负责人和审计责任人；</w:t>
            </w:r>
            <w:r>
              <w:rPr>
                <w:rFonts w:hint="eastAsia" w:ascii="宋体" w:hAnsi="宋体" w:cs="宋体"/>
                <w:color w:val="000000"/>
                <w:kern w:val="0"/>
                <w:szCs w:val="21"/>
              </w:rPr>
              <w:br w:type="textWrapping"/>
            </w:r>
            <w:r>
              <w:rPr>
                <w:rFonts w:hint="eastAsia" w:ascii="宋体" w:hAnsi="宋体" w:cs="宋体"/>
                <w:color w:val="000000"/>
                <w:kern w:val="0"/>
                <w:szCs w:val="21"/>
              </w:rPr>
              <w:t>　　（三）分公司、中心支公司总经理、副总经理和总经理助理；</w:t>
            </w:r>
            <w:r>
              <w:rPr>
                <w:rFonts w:hint="eastAsia" w:ascii="宋体" w:hAnsi="宋体" w:cs="宋体"/>
                <w:color w:val="000000"/>
                <w:kern w:val="0"/>
                <w:szCs w:val="21"/>
              </w:rPr>
              <w:br w:type="textWrapping"/>
            </w:r>
            <w:r>
              <w:rPr>
                <w:rFonts w:hint="eastAsia" w:ascii="宋体" w:hAnsi="宋体" w:cs="宋体"/>
                <w:color w:val="000000"/>
                <w:kern w:val="0"/>
                <w:szCs w:val="21"/>
              </w:rPr>
              <w:t>　　（四）支公司、营业部经理；</w:t>
            </w:r>
            <w:r>
              <w:rPr>
                <w:rFonts w:hint="eastAsia" w:ascii="宋体" w:hAnsi="宋体" w:cs="宋体"/>
                <w:color w:val="000000"/>
                <w:kern w:val="0"/>
                <w:szCs w:val="21"/>
              </w:rPr>
              <w:br w:type="textWrapping"/>
            </w:r>
            <w:r>
              <w:rPr>
                <w:rFonts w:hint="eastAsia" w:ascii="宋体" w:hAnsi="宋体" w:cs="宋体"/>
                <w:color w:val="000000"/>
                <w:kern w:val="0"/>
                <w:szCs w:val="21"/>
              </w:rPr>
              <w:t>　　（五）与上述高级管理人员具有相同职权的管理人员。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岗位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GW</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如为董事、监事、高管人员，须按监管规定填写（参考[董监高标志]数据项备注），其他人员按公司内部规定名称填写。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入司日期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RSRQ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如董监高标志为员工，则填报最近一次签订劳动合同的日期，其他人员则填报任职开始日期。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离司日期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如董监高标志为员工，则填报离司日期，其他人员则填报任职结束日期，若未离司或仍在任职期则填默认值99991231。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员工工资卡对应开户银行的名称。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员工工资卡账号。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银行账户名称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员工工资卡银行账户名称。隐私，财产保险公司变形。</w:t>
            </w:r>
          </w:p>
        </w:tc>
      </w:tr>
    </w:tbl>
    <w:p/>
    <w:p>
      <w:pPr>
        <w:pStyle w:val="6"/>
        <w:numPr>
          <w:ilvl w:val="0"/>
          <w:numId w:val="4"/>
        </w:numPr>
        <w:ind w:firstLine="600"/>
        <w:rPr>
          <w:szCs w:val="22"/>
        </w:rPr>
      </w:pPr>
      <w:r>
        <w:rPr>
          <w:rFonts w:hint="eastAsia"/>
          <w:szCs w:val="22"/>
        </w:rPr>
        <w:t>董监高履职信息表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1391"/>
        <w:gridCol w:w="846"/>
        <w:gridCol w:w="1050"/>
        <w:gridCol w:w="701"/>
        <w:gridCol w:w="3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802"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DJGLZXXB</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董监高履职信息表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0107</w:t>
            </w:r>
          </w:p>
        </w:tc>
        <w:tc>
          <w:tcPr>
            <w:tcW w:w="4802"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总部及分支机构内所有属于银保监会监管的董事、监事、高管范围的人员履职信息，如董事、监事、高管兼任多个职务，需要分开报送。董监高是指根据《保险公司董事、监事和高级管理人员任职资格管理规定》（保监会令〔</w:t>
            </w:r>
            <w:r>
              <w:rPr>
                <w:rFonts w:ascii="宋体" w:hAnsi="宋体" w:cs="宋体"/>
                <w:color w:val="000000"/>
                <w:kern w:val="0"/>
                <w:szCs w:val="21"/>
              </w:rPr>
              <w:t>2014〕1号）第四条的规定，高级管理人员是指对保险机构经营管理活动和风险控制具有决策权或者重大影响的下列人员：（一）总公司总经理、副总经理和总经理助理；（二）总公司董事会秘书、合规负责人、总精算师、财务负责人和审计责任人；（三）分公司、中心支公司总经理、副总经理和总经理助理；（四）支公司、</w:t>
            </w:r>
            <w:r>
              <w:rPr>
                <w:rFonts w:hint="eastAsia" w:ascii="宋体" w:hAnsi="宋体" w:cs="宋体"/>
                <w:color w:val="000000"/>
                <w:kern w:val="0"/>
                <w:szCs w:val="21"/>
              </w:rPr>
              <w:t>营业部经理；（五）与上述高级管理人员具有相同职权的管理人员。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105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5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员工代码</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保险公司自行定义的员工编号，具有唯一性。一般由英文字母、数字、常见字符组成。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所属分支机构代码</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SSFZJGDM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对应到分支机构信息表的分支机构代码数据项。关联数据项：分支机构信息表-分支机构代码。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职务</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ZW</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若为董事、监事，则填报公司自定义职务；若为高管，则参考银保监会监管的高管范围人员定义。《保险公司董事、监事和高级管理人员任职资格管理规定》第一章 第四条 本规定所称高级管理人员，是指对保险机构经营管理活动和风险控制具有决策权或者重大影响的下列人员：</w:t>
            </w:r>
            <w:r>
              <w:rPr>
                <w:rFonts w:hint="eastAsia" w:ascii="宋体" w:hAnsi="宋体" w:cs="宋体"/>
                <w:color w:val="000000"/>
                <w:kern w:val="0"/>
                <w:szCs w:val="21"/>
              </w:rPr>
              <w:br w:type="textWrapping"/>
            </w:r>
            <w:r>
              <w:rPr>
                <w:rFonts w:hint="eastAsia" w:ascii="宋体" w:hAnsi="宋体" w:cs="宋体"/>
                <w:color w:val="000000"/>
                <w:kern w:val="0"/>
                <w:szCs w:val="21"/>
              </w:rPr>
              <w:t>　　（一）总公司总经理、副总经理和总经理助理；</w:t>
            </w:r>
            <w:r>
              <w:rPr>
                <w:rFonts w:hint="eastAsia" w:ascii="宋体" w:hAnsi="宋体" w:cs="宋体"/>
                <w:color w:val="000000"/>
                <w:kern w:val="0"/>
                <w:szCs w:val="21"/>
              </w:rPr>
              <w:br w:type="textWrapping"/>
            </w:r>
            <w:r>
              <w:rPr>
                <w:rFonts w:hint="eastAsia" w:ascii="宋体" w:hAnsi="宋体" w:cs="宋体"/>
                <w:color w:val="000000"/>
                <w:kern w:val="0"/>
                <w:szCs w:val="21"/>
              </w:rPr>
              <w:t>　　（二）总公司董事会秘书、合规负责人、总精算师、财务负责人和审计责任人；</w:t>
            </w:r>
            <w:r>
              <w:rPr>
                <w:rFonts w:hint="eastAsia" w:ascii="宋体" w:hAnsi="宋体" w:cs="宋体"/>
                <w:color w:val="000000"/>
                <w:kern w:val="0"/>
                <w:szCs w:val="21"/>
              </w:rPr>
              <w:br w:type="textWrapping"/>
            </w:r>
            <w:r>
              <w:rPr>
                <w:rFonts w:hint="eastAsia" w:ascii="宋体" w:hAnsi="宋体" w:cs="宋体"/>
                <w:color w:val="000000"/>
                <w:kern w:val="0"/>
                <w:szCs w:val="21"/>
              </w:rPr>
              <w:t>　　（三）分公司、中心支公司总经理、副总经理和总经理助理；</w:t>
            </w:r>
            <w:r>
              <w:rPr>
                <w:rFonts w:hint="eastAsia" w:ascii="宋体" w:hAnsi="宋体" w:cs="宋体"/>
                <w:color w:val="000000"/>
                <w:kern w:val="0"/>
                <w:szCs w:val="21"/>
              </w:rPr>
              <w:br w:type="textWrapping"/>
            </w:r>
            <w:r>
              <w:rPr>
                <w:rFonts w:hint="eastAsia" w:ascii="宋体" w:hAnsi="宋体" w:cs="宋体"/>
                <w:color w:val="000000"/>
                <w:kern w:val="0"/>
                <w:szCs w:val="21"/>
              </w:rPr>
              <w:t>　　（四）支公司、营业部经理；</w:t>
            </w:r>
            <w:r>
              <w:rPr>
                <w:rFonts w:hint="eastAsia" w:ascii="宋体" w:hAnsi="宋体" w:cs="宋体"/>
                <w:color w:val="000000"/>
                <w:kern w:val="0"/>
                <w:szCs w:val="21"/>
              </w:rPr>
              <w:br w:type="textWrapping"/>
            </w:r>
            <w:r>
              <w:rPr>
                <w:rFonts w:hint="eastAsia" w:ascii="宋体" w:hAnsi="宋体" w:cs="宋体"/>
                <w:color w:val="000000"/>
                <w:kern w:val="0"/>
                <w:szCs w:val="21"/>
              </w:rPr>
              <w:t>　　（五）与上述高级管理人员具有相同职权的管理人员。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履职序号</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LZXH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职务下的履职顺序号，同一职务下有多段履职经历的，履职序号按时间顺序依次加1，职务下唯一。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开始日期</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董事、监事、高管任职开始日期。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结束日期</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JSRQA</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董事、监事、高管离任日期，若现任职则填默认值99991231。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批复日期</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PFRQ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获得董事、监事、高管任职资格的批复日期。YYYYMMDD。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报告日期</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BGRQ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董事、监事或者高级管理人员的任职决定生效后，向银保监会报告的日期。YYYYMMDD。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过往任职信息</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GWRZXX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填写自工作以来担任董事、监事、高管的过往任职信息。参考格式为：XXXX年XX月XX日-XXXX年XX月XX日于XX机构担任XXX职务。</w:t>
            </w:r>
          </w:p>
        </w:tc>
      </w:tr>
    </w:tbl>
    <w:p/>
    <w:p>
      <w:pPr>
        <w:pStyle w:val="6"/>
        <w:numPr>
          <w:ilvl w:val="0"/>
          <w:numId w:val="4"/>
        </w:numPr>
        <w:ind w:firstLine="600"/>
        <w:rPr>
          <w:szCs w:val="22"/>
        </w:rPr>
      </w:pPr>
      <w:r>
        <w:rPr>
          <w:rFonts w:hint="eastAsia"/>
          <w:szCs w:val="22"/>
        </w:rPr>
        <w:t>董监高处罚信息表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1391"/>
        <w:gridCol w:w="846"/>
        <w:gridCol w:w="1050"/>
        <w:gridCol w:w="701"/>
        <w:gridCol w:w="3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802"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DJGCFXXB</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董监高处罚信息表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0108</w:t>
            </w:r>
          </w:p>
        </w:tc>
        <w:tc>
          <w:tcPr>
            <w:tcW w:w="4802"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总部及分支机构内所有属于银保监会监管的董事、监事、高管范围的处罚信息，如董事、监事、高管兼任多个职务或受到多个处罚，需要分开报送。董监高是指根据《保险公司董事、监事和高级管理人员任职资格管理规定》（保监会令〔</w:t>
            </w:r>
            <w:r>
              <w:rPr>
                <w:rFonts w:ascii="宋体" w:hAnsi="宋体" w:cs="宋体"/>
                <w:color w:val="000000"/>
                <w:kern w:val="0"/>
                <w:szCs w:val="21"/>
              </w:rPr>
              <w:t>2014〕1号）第四条的规定，高级管理人员是指对保险机构经营管理活动和风险控制具有决策权或者重大影响的下列人员：（一）总公司总经理、副总经理和总经理助理；（二）总公司董事会秘书、合规负责人、总精算师、财务负责人和审计责任人；（三）分公司、中心支公司总经理、副总经理和总经理助理；（四</w:t>
            </w:r>
            <w:r>
              <w:rPr>
                <w:rFonts w:hint="eastAsia" w:ascii="宋体" w:hAnsi="宋体" w:cs="宋体"/>
                <w:color w:val="000000"/>
                <w:kern w:val="0"/>
                <w:szCs w:val="21"/>
              </w:rPr>
              <w:t>）支公司、营业部经理；（五）与上述高级管理人员具有相同职权的管理人员。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105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5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员工代码</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保险公司自行定义的员工编号，具有唯一性。一般由英文字母、数字、常见字符组成。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所属分支机构代码</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SSFZJGDM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对应到分支机构信息表的分支机构代码数据项。关联数据项：分支机构信息表-分支机构代码。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处罚序号</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CFXH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当期报送处罚信息的序号。例如报送期间有10条处罚信息，序号从1到10。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开始日期</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处罚开始日期。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结束日期</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JSRQA</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处罚结束日期，存在罚款等处罚无持续时间的情况，开始和结束日期填报同一天。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时任职务</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SRZW</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处罚行为发生时所任职务。关联数据项：董监高履职信息表-职务。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履职序号</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LZXH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职务下的履职顺序号，同一职务下有多段履职经历的，履职序号按时间顺序依次加1，职务下唯一。关联数据项：董监高履职信息表-履职序号。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处罚机关</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CFJG</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发布该人员处罚决定的，依法有权或受托实施行政处罚的监管机构主体的规范全称。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处罚种类</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CFZL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001036</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董事、监事、高管处罚种类，填报中文描述。包括：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罚款</w:t>
            </w:r>
            <w:r>
              <w:rPr>
                <w:rFonts w:hint="eastAsia" w:ascii="宋体" w:hAnsi="宋体" w:cs="宋体"/>
                <w:color w:val="000000"/>
                <w:kern w:val="0"/>
                <w:szCs w:val="21"/>
              </w:rPr>
              <w:br w:type="textWrapping"/>
            </w:r>
            <w:r>
              <w:rPr>
                <w:rFonts w:hint="eastAsia" w:ascii="宋体" w:hAnsi="宋体" w:cs="宋体"/>
                <w:color w:val="000000"/>
                <w:kern w:val="0"/>
                <w:szCs w:val="21"/>
              </w:rPr>
              <w:t>警告</w:t>
            </w:r>
            <w:r>
              <w:rPr>
                <w:rFonts w:hint="eastAsia" w:ascii="宋体" w:hAnsi="宋体" w:cs="宋体"/>
                <w:color w:val="000000"/>
                <w:kern w:val="0"/>
                <w:szCs w:val="21"/>
              </w:rPr>
              <w:br w:type="textWrapping"/>
            </w:r>
            <w:r>
              <w:rPr>
                <w:rFonts w:hint="eastAsia" w:ascii="宋体" w:hAnsi="宋体" w:cs="宋体"/>
                <w:color w:val="000000"/>
                <w:kern w:val="0"/>
                <w:szCs w:val="21"/>
              </w:rPr>
              <w:t>撤销任职资格</w:t>
            </w:r>
            <w:r>
              <w:rPr>
                <w:rFonts w:hint="eastAsia" w:ascii="宋体" w:hAnsi="宋体" w:cs="宋体"/>
                <w:color w:val="000000"/>
                <w:kern w:val="0"/>
                <w:szCs w:val="21"/>
              </w:rPr>
              <w:br w:type="textWrapping"/>
            </w:r>
            <w:r>
              <w:rPr>
                <w:rFonts w:hint="eastAsia" w:ascii="宋体" w:hAnsi="宋体" w:cs="宋体"/>
                <w:color w:val="000000"/>
                <w:kern w:val="0"/>
                <w:szCs w:val="21"/>
              </w:rPr>
              <w:t>司法处理</w:t>
            </w:r>
            <w:r>
              <w:rPr>
                <w:rFonts w:hint="eastAsia" w:ascii="宋体" w:hAnsi="宋体" w:cs="宋体"/>
                <w:color w:val="000000"/>
                <w:kern w:val="0"/>
                <w:szCs w:val="21"/>
              </w:rPr>
              <w:br w:type="textWrapping"/>
            </w:r>
            <w:r>
              <w:rPr>
                <w:rFonts w:hint="eastAsia" w:ascii="宋体" w:hAnsi="宋体" w:cs="宋体"/>
                <w:color w:val="000000"/>
                <w:kern w:val="0"/>
                <w:szCs w:val="21"/>
              </w:rPr>
              <w:t>禁止进入保险业</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处罚原因</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CFYY</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处罚原因的文字描述，若有处罚决定书，填写处罚决定书内容。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处罚金额</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CFJE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处罚金额，单位元（人民币）。</w:t>
            </w:r>
          </w:p>
        </w:tc>
      </w:tr>
    </w:tbl>
    <w:p/>
    <w:p>
      <w:pPr>
        <w:pStyle w:val="6"/>
        <w:numPr>
          <w:ilvl w:val="0"/>
          <w:numId w:val="4"/>
        </w:numPr>
        <w:ind w:firstLine="600"/>
      </w:pPr>
      <w:r>
        <w:rPr>
          <w:rFonts w:hint="eastAsia"/>
        </w:rPr>
        <w:t>员工问责信息表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YGWZXXB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员工问责信息表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0109</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本表报送财产保险公司总部及分支机构所有与公司签订劳动合同的员工的内部问责信息，包括在岗和离职员工。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员工代码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保险公司自行定义的员工编号，具有唯一性。一般由英文字母、数字、常见字符组成。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所属分支机构代码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SSFZJGDM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对应到分支机构信息表的分支机构代码数据项。关联数据项：分支机构信息表-分支机构代码。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内部问责序号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NBWZXH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当期报送内部问责信息的序号。例如报送期间有10条内部问责信息，序号从1到10。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开始日期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内部问责开始日期。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结束日期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JSRQA</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内部问责结束日期，存在罚款等内部问责无持续时间的情况，开始和结束日期填报同一天。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内部问责种类</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NBWZZL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员工内部问责种类，填报中文描述。包括：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降职</w:t>
            </w:r>
            <w:r>
              <w:rPr>
                <w:rFonts w:hint="eastAsia" w:ascii="宋体" w:hAnsi="宋体" w:cs="宋体"/>
                <w:color w:val="000000"/>
                <w:kern w:val="0"/>
                <w:szCs w:val="21"/>
              </w:rPr>
              <w:br w:type="textWrapping"/>
            </w:r>
            <w:r>
              <w:rPr>
                <w:rFonts w:hint="eastAsia" w:ascii="宋体" w:hAnsi="宋体" w:cs="宋体"/>
                <w:color w:val="000000"/>
                <w:kern w:val="0"/>
                <w:szCs w:val="21"/>
              </w:rPr>
              <w:t>解聘</w:t>
            </w:r>
            <w:r>
              <w:rPr>
                <w:rFonts w:hint="eastAsia" w:ascii="宋体" w:hAnsi="宋体" w:cs="宋体"/>
                <w:color w:val="000000"/>
                <w:kern w:val="0"/>
                <w:szCs w:val="21"/>
              </w:rPr>
              <w:br w:type="textWrapping"/>
            </w:r>
            <w:r>
              <w:rPr>
                <w:rFonts w:hint="eastAsia" w:ascii="宋体" w:hAnsi="宋体" w:cs="宋体"/>
                <w:color w:val="000000"/>
                <w:kern w:val="0"/>
                <w:szCs w:val="21"/>
              </w:rPr>
              <w:t>党纪处分</w:t>
            </w:r>
            <w:r>
              <w:rPr>
                <w:rFonts w:hint="eastAsia" w:ascii="宋体" w:hAnsi="宋体" w:cs="宋体"/>
                <w:color w:val="000000"/>
                <w:kern w:val="0"/>
                <w:szCs w:val="21"/>
              </w:rPr>
              <w:br w:type="textWrapping"/>
            </w:r>
            <w:r>
              <w:rPr>
                <w:rFonts w:hint="eastAsia" w:ascii="宋体" w:hAnsi="宋体" w:cs="宋体"/>
                <w:color w:val="000000"/>
                <w:kern w:val="0"/>
                <w:szCs w:val="21"/>
              </w:rPr>
              <w:t>罚款</w:t>
            </w:r>
            <w:r>
              <w:rPr>
                <w:rFonts w:hint="eastAsia" w:ascii="宋体" w:hAnsi="宋体" w:cs="宋体"/>
                <w:color w:val="000000"/>
                <w:kern w:val="0"/>
                <w:szCs w:val="21"/>
              </w:rPr>
              <w:br w:type="textWrapping"/>
            </w:r>
            <w:r>
              <w:rPr>
                <w:rFonts w:hint="eastAsia" w:ascii="宋体" w:hAnsi="宋体" w:cs="宋体"/>
                <w:color w:val="000000"/>
                <w:kern w:val="0"/>
                <w:szCs w:val="21"/>
              </w:rPr>
              <w:t>通报批评</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内部问责原因</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NBWZYY</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内部问责原因的文字描述。若为监管部门处罚后续的内部问责，需要在问责原因中列明监管处罚原因和处罚通知书名称及文号；若有内部问责决定书，填写内部问责决定书内容。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内部问责金额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NBWZJE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内部问责金额，单位元（人民币）。</w:t>
            </w:r>
          </w:p>
        </w:tc>
      </w:tr>
    </w:tbl>
    <w:p/>
    <w:p>
      <w:pPr>
        <w:pStyle w:val="6"/>
        <w:numPr>
          <w:ilvl w:val="0"/>
          <w:numId w:val="4"/>
        </w:numPr>
        <w:ind w:firstLine="600"/>
      </w:pPr>
      <w:r>
        <w:rPr>
          <w:rFonts w:hint="eastAsia"/>
        </w:rPr>
        <w:t>销售人员信息表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2"/>
        <w:gridCol w:w="1812"/>
        <w:gridCol w:w="816"/>
        <w:gridCol w:w="696"/>
        <w:gridCol w:w="696"/>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8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8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19"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XSRYXXB</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销售人员信息表</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w:t>
            </w:r>
          </w:p>
        </w:tc>
        <w:tc>
          <w:tcPr>
            <w:tcW w:w="4419"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本表报送财产保险公司内、外部销售人员的信息，包含与公司签订劳动合同的销售人员。投诉或回访日期在</w:t>
            </w:r>
            <w:r>
              <w:rPr>
                <w:rFonts w:ascii="宋体" w:hAnsi="宋体" w:cs="宋体"/>
                <w:color w:val="000000"/>
                <w:kern w:val="0"/>
                <w:szCs w:val="21"/>
              </w:rPr>
              <w:t>2017年1月1日至2020年12月31日期间涉及的保单关联的销售人员信息表需要上报。当保单基本信息表重新报送快照时，销售人员信息表也需要同步报送快照。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8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8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2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销售人员编号</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XSRYBH</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各保险公司核心系统所存的保险公司的销售人员的工号或编号。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所属分支机构代码</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SSFZJGDM</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对应到分支机构信息表的分支机构代码数据项。关联数据项：分支机构信息表-分支机构代码。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销售人员姓名</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XSRYXM</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销售人员的姓名。隐私，财产保险公司变形。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学历</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XL1</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003007</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销售人员的学历，对应《业务代码表》中的“学历”，填报中文描述。例如：研究生教育、大学本科教育、大学专科教育。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证件类型</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ZJLX</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销售人员的证件类型。对应《业务代码表》中的“个人身份证件类型”，填报中文描述。例如：居民身份证、军人身份证件、护照、出生医学证明等。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证件号码</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ZJHM</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身份证号、护照号、军官证号等有效证件号码。隐私，财产保险公司变形。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联系电话</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LXDH</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销售人员的手机号码。隐私，暂不取。公司需在本地保留原文数据，并报送“隐私”。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销售渠道类型</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XSQDLX</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005005</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销售人员的销售渠道类型，对应《业务代码表》中的“销售渠道类型”，填报中文描述。例如：直接业务-传统直销业务-直销柜面。有多个渠道的，逐个填写，使用英文半角分号隔开。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执业证书号</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ZYZSH</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003010</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销售人员执业证号码。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执业证发放日期</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ZYZFFRQ</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执业证发放日期。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执业证注销/到期日期</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ZYZZXDQRQ</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执业证注销或到期日期。若长期有效，则填99991231。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签约日期</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QYRQ1</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保险公司与销售人员签订合同的日期。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解约日期</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JYRQ1</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保险公司与销售人员解除合同的日期，若没有解约则填默认值99991231。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上级销售人员</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SJXSRY</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按隶属关系上级，若为最高级填0。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违规违纪记录</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WGWJJL</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销售人员的内外部违规违纪处理记录，包括销售人员受到公司内部/银保监会/银保监局/政府执法部门的处罚。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过往任职信息</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GWRZXX</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填写销售人员自工作以来在机构内部及机构之间过往任职信息。参考格式为：XXXX年XX月XX日-XXXX年XX月XX日于XX机构从事XXX职业。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开户银行名称</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KHYHMC</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001038</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销售人员工资卡对应开户银行的名称。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银行账号</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销售人员工资卡账号。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银行账户名称</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YHZHMC</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001040</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销售人员工资卡银行账户名称。隐私，财产保险公司变形。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用工性质</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YGXZ</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001047</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销售人员的用工性质，填报中文描述。包括：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合同制</w:t>
            </w:r>
            <w:r>
              <w:rPr>
                <w:rFonts w:hint="eastAsia" w:ascii="宋体" w:hAnsi="宋体" w:cs="宋体"/>
                <w:color w:val="000000"/>
                <w:kern w:val="0"/>
                <w:szCs w:val="21"/>
              </w:rPr>
              <w:br w:type="textWrapping"/>
            </w:r>
            <w:r>
              <w:rPr>
                <w:rFonts w:hint="eastAsia" w:ascii="宋体" w:hAnsi="宋体" w:cs="宋体"/>
                <w:color w:val="000000"/>
                <w:kern w:val="0"/>
                <w:szCs w:val="21"/>
              </w:rPr>
              <w:t>派遣制</w:t>
            </w:r>
            <w:r>
              <w:rPr>
                <w:rFonts w:hint="eastAsia" w:ascii="宋体" w:hAnsi="宋体" w:cs="宋体"/>
                <w:color w:val="000000"/>
                <w:kern w:val="0"/>
                <w:szCs w:val="21"/>
              </w:rPr>
              <w:br w:type="textWrapping"/>
            </w:r>
            <w:r>
              <w:rPr>
                <w:rFonts w:hint="eastAsia" w:ascii="宋体" w:hAnsi="宋体" w:cs="宋体"/>
                <w:color w:val="000000"/>
                <w:kern w:val="0"/>
                <w:szCs w:val="21"/>
              </w:rPr>
              <w:t>代理制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劳务派遣公司名称</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LWPQGSMC</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劳务派遣公司的名称。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劳务派遣公司开户银行名称</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LWPQGSKHYHMC</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001038</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劳务派遣公司开户银行的名称，当用工性质为派遣制时，必填。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劳务派遣公司银行账号</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LWPQGSYHZH</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劳务派遣公司的银行账号，当用工性质为派遣制时，必填。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劳务派遣公司银行账户名称</w:t>
            </w:r>
          </w:p>
        </w:tc>
        <w:tc>
          <w:tcPr>
            <w:tcW w:w="1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LWPQGSYHZHMC</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001040</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2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劳务派遣公司的银行账户名称，当用工性质为派遣制时，必填。</w:t>
            </w:r>
          </w:p>
        </w:tc>
      </w:tr>
    </w:tbl>
    <w:p>
      <w:pPr>
        <w:pStyle w:val="44"/>
        <w:spacing w:line="560" w:lineRule="exact"/>
        <w:rPr>
          <w:rFonts w:ascii="Calibri" w:hAnsi="Calibri"/>
          <w:szCs w:val="22"/>
        </w:rPr>
      </w:pPr>
    </w:p>
    <w:p>
      <w:pPr>
        <w:pStyle w:val="4"/>
      </w:pPr>
      <w:bookmarkStart w:id="33" w:name="_Toc32720"/>
      <w:bookmarkStart w:id="34" w:name="_Toc1925977436"/>
      <w:bookmarkStart w:id="35" w:name="_Toc2362"/>
      <w:bookmarkStart w:id="36" w:name="_Toc6230"/>
      <w:bookmarkStart w:id="37" w:name="_Toc31803"/>
      <w:bookmarkStart w:id="38" w:name="_Toc20691"/>
      <w:bookmarkStart w:id="39" w:name="_Toc11901"/>
      <w:bookmarkStart w:id="40" w:name="_Toc18178"/>
      <w:r>
        <w:rPr>
          <w:rFonts w:hint="eastAsia"/>
        </w:rPr>
        <w:t>会计记账信息</w:t>
      </w:r>
      <w:bookmarkEnd w:id="33"/>
      <w:bookmarkEnd w:id="34"/>
    </w:p>
    <w:p>
      <w:pPr>
        <w:pStyle w:val="51"/>
        <w:numPr>
          <w:ilvl w:val="0"/>
          <w:numId w:val="7"/>
        </w:numPr>
      </w:pPr>
      <w:r>
        <w:rPr>
          <w:rFonts w:hint="eastAsia"/>
        </w:rPr>
        <w:t>总账会计全科目表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3"/>
        <w:gridCol w:w="1434"/>
        <w:gridCol w:w="846"/>
        <w:gridCol w:w="845"/>
        <w:gridCol w:w="718"/>
        <w:gridCol w:w="3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3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3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716"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ZZKJQKMB</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总账会计全科目表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0201</w:t>
            </w:r>
          </w:p>
        </w:tc>
        <w:tc>
          <w:tcPr>
            <w:tcW w:w="4716"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本表报送境内法人全科目报表数据，包括所有进行账务处理的机构（至少应包括总部、省分公司、中心支公司等实体机构和全辖（法人）汇总、省级汇总），包括本位币汇总、交易币分币种汇总。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3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3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84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5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会计日期</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会计记账日期。YYYYMMDD。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保险账套编号</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BXZTBH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保险公司自己的账套编码，应具有唯一标识。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保险账套名称</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BXZTMC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保险公司自己的账套名称，应具有唯一标识。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分支机构代码</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保险公司分支机构的内部编码。关联数据项：分支机构信息表-分支机构代码。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总账会计科目编号</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KMBH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保险公司自己使用的科目编码。关联数据项：内部科目对照表-总账会计科目编号。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总账会计科目名称</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KMMC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保险公司自己使用的科目名称。关联数据项：内部科目对照表-总账会计科目名称。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总账会计科目级次</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KMJC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002001</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总账会计科目在科目结构中所对应的级次，未设置科目层级默认一级科目。关联数据项：内部科目对照表-会计科目级次。填报数字。包括：</w:t>
            </w:r>
            <w:r>
              <w:rPr>
                <w:rFonts w:hint="eastAsia" w:ascii="宋体" w:hAnsi="宋体" w:cs="宋体"/>
                <w:color w:val="000000"/>
                <w:kern w:val="0"/>
                <w:szCs w:val="21"/>
              </w:rPr>
              <w:br w:type="textWrapping"/>
            </w:r>
            <w:r>
              <w:rPr>
                <w:rFonts w:hint="eastAsia" w:ascii="宋体" w:hAnsi="宋体" w:cs="宋体"/>
                <w:color w:val="000000"/>
                <w:kern w:val="0"/>
                <w:szCs w:val="21"/>
              </w:rPr>
              <w:t>1-一级科目</w:t>
            </w:r>
            <w:r>
              <w:rPr>
                <w:rFonts w:hint="eastAsia" w:ascii="宋体" w:hAnsi="宋体" w:cs="宋体"/>
                <w:color w:val="000000"/>
                <w:kern w:val="0"/>
                <w:szCs w:val="21"/>
              </w:rPr>
              <w:br w:type="textWrapping"/>
            </w:r>
            <w:r>
              <w:rPr>
                <w:rFonts w:hint="eastAsia" w:ascii="宋体" w:hAnsi="宋体" w:cs="宋体"/>
                <w:color w:val="000000"/>
                <w:kern w:val="0"/>
                <w:szCs w:val="21"/>
              </w:rPr>
              <w:t>2-二级科目</w:t>
            </w:r>
            <w:r>
              <w:rPr>
                <w:rFonts w:hint="eastAsia" w:ascii="宋体" w:hAnsi="宋体" w:cs="宋体"/>
                <w:color w:val="000000"/>
                <w:kern w:val="0"/>
                <w:szCs w:val="21"/>
              </w:rPr>
              <w:br w:type="textWrapping"/>
            </w:r>
            <w:r>
              <w:rPr>
                <w:rFonts w:hint="eastAsia" w:ascii="宋体" w:hAnsi="宋体" w:cs="宋体"/>
                <w:color w:val="000000"/>
                <w:kern w:val="0"/>
                <w:szCs w:val="21"/>
              </w:rPr>
              <w:t>3-三级科目</w:t>
            </w:r>
            <w:r>
              <w:rPr>
                <w:rFonts w:hint="eastAsia" w:ascii="宋体" w:hAnsi="宋体" w:cs="宋体"/>
                <w:color w:val="000000"/>
                <w:kern w:val="0"/>
                <w:szCs w:val="21"/>
              </w:rPr>
              <w:br w:type="textWrapping"/>
            </w:r>
            <w:r>
              <w:rPr>
                <w:rFonts w:hint="eastAsia" w:ascii="宋体" w:hAnsi="宋体" w:cs="宋体"/>
                <w:color w:val="000000"/>
                <w:kern w:val="0"/>
                <w:szCs w:val="21"/>
              </w:rPr>
              <w:t>4-四级科目</w:t>
            </w:r>
            <w:r>
              <w:rPr>
                <w:rFonts w:hint="eastAsia" w:ascii="宋体" w:hAnsi="宋体" w:cs="宋体"/>
                <w:color w:val="000000"/>
                <w:kern w:val="0"/>
                <w:szCs w:val="21"/>
              </w:rPr>
              <w:br w:type="textWrapping"/>
            </w:r>
            <w:r>
              <w:rPr>
                <w:rFonts w:hint="eastAsia" w:ascii="宋体" w:hAnsi="宋体" w:cs="宋体"/>
                <w:color w:val="000000"/>
                <w:kern w:val="0"/>
                <w:szCs w:val="21"/>
              </w:rPr>
              <w:t>5-五级科目</w:t>
            </w:r>
            <w:r>
              <w:rPr>
                <w:rFonts w:hint="eastAsia" w:ascii="宋体" w:hAnsi="宋体" w:cs="宋体"/>
                <w:color w:val="000000"/>
                <w:kern w:val="0"/>
                <w:szCs w:val="21"/>
              </w:rPr>
              <w:br w:type="textWrapping"/>
            </w:r>
            <w:r>
              <w:rPr>
                <w:rFonts w:hint="eastAsia" w:ascii="宋体" w:hAnsi="宋体" w:cs="宋体"/>
                <w:color w:val="000000"/>
                <w:kern w:val="0"/>
                <w:szCs w:val="21"/>
              </w:rPr>
              <w:t>6-六级科目，以此类推。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会计科目类型</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KMLX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002002</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总账会计科目分类。关联数据项：内部科目对照表-会计科目类型。填报数字。包括：</w:t>
            </w:r>
            <w:r>
              <w:rPr>
                <w:rFonts w:hint="eastAsia" w:ascii="宋体" w:hAnsi="宋体" w:cs="宋体"/>
                <w:color w:val="000000"/>
                <w:kern w:val="0"/>
                <w:szCs w:val="21"/>
              </w:rPr>
              <w:br w:type="textWrapping"/>
            </w:r>
            <w:r>
              <w:rPr>
                <w:rFonts w:hint="eastAsia" w:ascii="宋体" w:hAnsi="宋体" w:cs="宋体"/>
                <w:color w:val="000000"/>
                <w:kern w:val="0"/>
                <w:szCs w:val="21"/>
              </w:rPr>
              <w:t>1-资产</w:t>
            </w:r>
            <w:r>
              <w:rPr>
                <w:rFonts w:hint="eastAsia" w:ascii="宋体" w:hAnsi="宋体" w:cs="宋体"/>
                <w:color w:val="000000"/>
                <w:kern w:val="0"/>
                <w:szCs w:val="21"/>
              </w:rPr>
              <w:br w:type="textWrapping"/>
            </w:r>
            <w:r>
              <w:rPr>
                <w:rFonts w:hint="eastAsia" w:ascii="宋体" w:hAnsi="宋体" w:cs="宋体"/>
                <w:color w:val="000000"/>
                <w:kern w:val="0"/>
                <w:szCs w:val="21"/>
              </w:rPr>
              <w:t>2-负债</w:t>
            </w:r>
            <w:r>
              <w:rPr>
                <w:rFonts w:hint="eastAsia" w:ascii="宋体" w:hAnsi="宋体" w:cs="宋体"/>
                <w:color w:val="000000"/>
                <w:kern w:val="0"/>
                <w:szCs w:val="21"/>
              </w:rPr>
              <w:br w:type="textWrapping"/>
            </w:r>
            <w:r>
              <w:rPr>
                <w:rFonts w:hint="eastAsia" w:ascii="宋体" w:hAnsi="宋体" w:cs="宋体"/>
                <w:color w:val="000000"/>
                <w:kern w:val="0"/>
                <w:szCs w:val="21"/>
              </w:rPr>
              <w:t>3-所有者权益</w:t>
            </w:r>
            <w:r>
              <w:rPr>
                <w:rFonts w:hint="eastAsia" w:ascii="宋体" w:hAnsi="宋体" w:cs="宋体"/>
                <w:color w:val="000000"/>
                <w:kern w:val="0"/>
                <w:szCs w:val="21"/>
              </w:rPr>
              <w:br w:type="textWrapping"/>
            </w:r>
            <w:r>
              <w:rPr>
                <w:rFonts w:hint="eastAsia" w:ascii="宋体" w:hAnsi="宋体" w:cs="宋体"/>
                <w:color w:val="000000"/>
                <w:kern w:val="0"/>
                <w:szCs w:val="21"/>
              </w:rPr>
              <w:t>4-损益</w:t>
            </w:r>
            <w:r>
              <w:rPr>
                <w:rFonts w:hint="eastAsia" w:ascii="宋体" w:hAnsi="宋体" w:cs="宋体"/>
                <w:color w:val="000000"/>
                <w:kern w:val="0"/>
                <w:szCs w:val="21"/>
              </w:rPr>
              <w:br w:type="textWrapping"/>
            </w:r>
            <w:r>
              <w:rPr>
                <w:rFonts w:hint="eastAsia" w:ascii="宋体" w:hAnsi="宋体" w:cs="宋体"/>
                <w:color w:val="000000"/>
                <w:kern w:val="0"/>
                <w:szCs w:val="21"/>
              </w:rPr>
              <w:t>5-资产负债共同类</w:t>
            </w:r>
            <w:r>
              <w:rPr>
                <w:rFonts w:hint="eastAsia" w:ascii="宋体" w:hAnsi="宋体" w:cs="宋体"/>
                <w:color w:val="000000"/>
                <w:kern w:val="0"/>
                <w:szCs w:val="21"/>
              </w:rPr>
              <w:br w:type="textWrapping"/>
            </w:r>
            <w:r>
              <w:rPr>
                <w:rFonts w:hint="eastAsia" w:ascii="宋体" w:hAnsi="宋体" w:cs="宋体"/>
                <w:color w:val="000000"/>
                <w:kern w:val="0"/>
                <w:szCs w:val="21"/>
              </w:rPr>
              <w:t>6-表外</w:t>
            </w:r>
            <w:r>
              <w:rPr>
                <w:rFonts w:hint="eastAsia" w:ascii="宋体" w:hAnsi="宋体" w:cs="宋体"/>
                <w:color w:val="000000"/>
                <w:kern w:val="0"/>
                <w:szCs w:val="21"/>
              </w:rPr>
              <w:br w:type="textWrapping"/>
            </w:r>
            <w:r>
              <w:rPr>
                <w:rFonts w:hint="eastAsia" w:ascii="宋体" w:hAnsi="宋体" w:cs="宋体"/>
                <w:color w:val="000000"/>
                <w:kern w:val="0"/>
                <w:szCs w:val="21"/>
              </w:rPr>
              <w:t>7-其他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期初借方余额</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QCJFYE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当前科目期初借方余额。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期初贷方余额</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QCDFYE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当前科目期初贷方余额。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本期借方发生额</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JFFSE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当前科目本期借方发生额。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本期贷方发生额</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DFFSE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当前科目本期贷方发生额。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期末借方余额</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QMJFYE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当前科目期末借方余额。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期末贷方余额</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QMDFYE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当前科目期末贷方余额。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报送周期</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BSZQ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002003</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每月15日前应报送上月月报会计数据，每年5月15日前应报送上年年报会计数据，填报数字。包括：</w:t>
            </w:r>
            <w:r>
              <w:rPr>
                <w:rFonts w:hint="eastAsia" w:ascii="宋体" w:hAnsi="宋体" w:cs="宋体"/>
                <w:color w:val="000000"/>
                <w:kern w:val="0"/>
                <w:szCs w:val="21"/>
              </w:rPr>
              <w:br w:type="textWrapping"/>
            </w:r>
            <w:r>
              <w:rPr>
                <w:rFonts w:hint="eastAsia" w:ascii="宋体" w:hAnsi="宋体" w:cs="宋体"/>
                <w:color w:val="000000"/>
                <w:kern w:val="0"/>
                <w:szCs w:val="21"/>
              </w:rPr>
              <w:t>2-月报</w:t>
            </w:r>
            <w:r>
              <w:rPr>
                <w:rFonts w:hint="eastAsia" w:ascii="宋体" w:hAnsi="宋体" w:cs="宋体"/>
                <w:color w:val="000000"/>
                <w:kern w:val="0"/>
                <w:szCs w:val="21"/>
              </w:rPr>
              <w:br w:type="textWrapping"/>
            </w:r>
            <w:r>
              <w:rPr>
                <w:rFonts w:hint="eastAsia" w:ascii="宋体" w:hAnsi="宋体" w:cs="宋体"/>
                <w:color w:val="000000"/>
                <w:kern w:val="0"/>
                <w:szCs w:val="21"/>
              </w:rPr>
              <w:t>5-年报</w:t>
            </w:r>
          </w:p>
        </w:tc>
      </w:tr>
    </w:tbl>
    <w:p>
      <w:pPr>
        <w:pStyle w:val="44"/>
        <w:spacing w:line="560" w:lineRule="exact"/>
        <w:rPr>
          <w:rFonts w:ascii="Calibri" w:hAnsi="Calibri"/>
          <w:szCs w:val="22"/>
        </w:rPr>
      </w:pPr>
    </w:p>
    <w:p>
      <w:pPr>
        <w:pStyle w:val="6"/>
        <w:numPr>
          <w:ilvl w:val="0"/>
          <w:numId w:val="4"/>
        </w:numPr>
        <w:ind w:firstLine="600"/>
      </w:pPr>
      <w:r>
        <w:rPr>
          <w:rFonts w:hint="eastAsia"/>
        </w:rPr>
        <w:t>内部科目对照表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NBKMDZB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内部科目对照表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0202</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总账会计全科目每一级科目由下级科目或明细账生成的关系，需要报送保险机构全量一级到最末级的会计科目。内部科目对照表由总公司统一确定，分支机构按同一内容报送。上级科目编号必须在该表中存在且具有唯一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总账会计科目编号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KMBH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保险公司自己使用的科目编码，报送至最末级所有科目。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总账会计科目名称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KMMC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保险公司自己使用的科目名称。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总账会计科目级次</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KMJC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002001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总账会计科目在科目结构中所对应的级次，未设置科目层级默认一级科目。关联数据项：内部科目对照表-会计科目级次。填报数字。包括：</w:t>
            </w:r>
            <w:r>
              <w:rPr>
                <w:rFonts w:hint="eastAsia" w:ascii="宋体" w:hAnsi="宋体" w:cs="宋体"/>
                <w:color w:val="000000"/>
                <w:kern w:val="0"/>
                <w:szCs w:val="21"/>
              </w:rPr>
              <w:br w:type="textWrapping"/>
            </w:r>
            <w:r>
              <w:rPr>
                <w:rFonts w:hint="eastAsia" w:ascii="宋体" w:hAnsi="宋体" w:cs="宋体"/>
                <w:color w:val="000000"/>
                <w:kern w:val="0"/>
                <w:szCs w:val="21"/>
              </w:rPr>
              <w:t>1-一级科目</w:t>
            </w:r>
            <w:r>
              <w:rPr>
                <w:rFonts w:hint="eastAsia" w:ascii="宋体" w:hAnsi="宋体" w:cs="宋体"/>
                <w:color w:val="000000"/>
                <w:kern w:val="0"/>
                <w:szCs w:val="21"/>
              </w:rPr>
              <w:br w:type="textWrapping"/>
            </w:r>
            <w:r>
              <w:rPr>
                <w:rFonts w:hint="eastAsia" w:ascii="宋体" w:hAnsi="宋体" w:cs="宋体"/>
                <w:color w:val="000000"/>
                <w:kern w:val="0"/>
                <w:szCs w:val="21"/>
              </w:rPr>
              <w:t>2-二级科目</w:t>
            </w:r>
            <w:r>
              <w:rPr>
                <w:rFonts w:hint="eastAsia" w:ascii="宋体" w:hAnsi="宋体" w:cs="宋体"/>
                <w:color w:val="000000"/>
                <w:kern w:val="0"/>
                <w:szCs w:val="21"/>
              </w:rPr>
              <w:br w:type="textWrapping"/>
            </w:r>
            <w:r>
              <w:rPr>
                <w:rFonts w:hint="eastAsia" w:ascii="宋体" w:hAnsi="宋体" w:cs="宋体"/>
                <w:color w:val="000000"/>
                <w:kern w:val="0"/>
                <w:szCs w:val="21"/>
              </w:rPr>
              <w:t>3-三级科目</w:t>
            </w:r>
            <w:r>
              <w:rPr>
                <w:rFonts w:hint="eastAsia" w:ascii="宋体" w:hAnsi="宋体" w:cs="宋体"/>
                <w:color w:val="000000"/>
                <w:kern w:val="0"/>
                <w:szCs w:val="21"/>
              </w:rPr>
              <w:br w:type="textWrapping"/>
            </w:r>
            <w:r>
              <w:rPr>
                <w:rFonts w:hint="eastAsia" w:ascii="宋体" w:hAnsi="宋体" w:cs="宋体"/>
                <w:color w:val="000000"/>
                <w:kern w:val="0"/>
                <w:szCs w:val="21"/>
              </w:rPr>
              <w:t>4-四级科目</w:t>
            </w:r>
            <w:r>
              <w:rPr>
                <w:rFonts w:hint="eastAsia" w:ascii="宋体" w:hAnsi="宋体" w:cs="宋体"/>
                <w:color w:val="000000"/>
                <w:kern w:val="0"/>
                <w:szCs w:val="21"/>
              </w:rPr>
              <w:br w:type="textWrapping"/>
            </w:r>
            <w:r>
              <w:rPr>
                <w:rFonts w:hint="eastAsia" w:ascii="宋体" w:hAnsi="宋体" w:cs="宋体"/>
                <w:color w:val="000000"/>
                <w:kern w:val="0"/>
                <w:szCs w:val="21"/>
              </w:rPr>
              <w:t>5-五级科目</w:t>
            </w:r>
            <w:r>
              <w:rPr>
                <w:rFonts w:hint="eastAsia" w:ascii="宋体" w:hAnsi="宋体" w:cs="宋体"/>
                <w:color w:val="000000"/>
                <w:kern w:val="0"/>
                <w:szCs w:val="21"/>
              </w:rPr>
              <w:br w:type="textWrapping"/>
            </w:r>
            <w:r>
              <w:rPr>
                <w:rFonts w:hint="eastAsia" w:ascii="宋体" w:hAnsi="宋体" w:cs="宋体"/>
                <w:color w:val="000000"/>
                <w:kern w:val="0"/>
                <w:szCs w:val="21"/>
              </w:rPr>
              <w:t>6-六级科目，以此类推。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上级科目编号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SJKMBH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填报会计科目归属的上级科目，一级科目的上级科目编号为0。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上级科目名称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SJKMMC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填报会计科目归属的上级科目名称，一级科目的上级科目名称填写为“空”字。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会计科目类型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KMLX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002002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总账会计科目分类，填报数字。包括：</w:t>
            </w:r>
            <w:r>
              <w:rPr>
                <w:rFonts w:hint="eastAsia" w:ascii="宋体" w:hAnsi="宋体" w:cs="宋体"/>
                <w:color w:val="000000"/>
                <w:kern w:val="0"/>
                <w:szCs w:val="21"/>
              </w:rPr>
              <w:br w:type="textWrapping"/>
            </w:r>
            <w:r>
              <w:rPr>
                <w:rFonts w:hint="eastAsia" w:ascii="宋体" w:hAnsi="宋体" w:cs="宋体"/>
                <w:color w:val="000000"/>
                <w:kern w:val="0"/>
                <w:szCs w:val="21"/>
              </w:rPr>
              <w:t>1-资产</w:t>
            </w:r>
            <w:r>
              <w:rPr>
                <w:rFonts w:hint="eastAsia" w:ascii="宋体" w:hAnsi="宋体" w:cs="宋体"/>
                <w:color w:val="000000"/>
                <w:kern w:val="0"/>
                <w:szCs w:val="21"/>
              </w:rPr>
              <w:br w:type="textWrapping"/>
            </w:r>
            <w:r>
              <w:rPr>
                <w:rFonts w:hint="eastAsia" w:ascii="宋体" w:hAnsi="宋体" w:cs="宋体"/>
                <w:color w:val="000000"/>
                <w:kern w:val="0"/>
                <w:szCs w:val="21"/>
              </w:rPr>
              <w:t>2-负债</w:t>
            </w:r>
            <w:r>
              <w:rPr>
                <w:rFonts w:hint="eastAsia" w:ascii="宋体" w:hAnsi="宋体" w:cs="宋体"/>
                <w:color w:val="000000"/>
                <w:kern w:val="0"/>
                <w:szCs w:val="21"/>
              </w:rPr>
              <w:br w:type="textWrapping"/>
            </w:r>
            <w:r>
              <w:rPr>
                <w:rFonts w:hint="eastAsia" w:ascii="宋体" w:hAnsi="宋体" w:cs="宋体"/>
                <w:color w:val="000000"/>
                <w:kern w:val="0"/>
                <w:szCs w:val="21"/>
              </w:rPr>
              <w:t>3-所有者权益</w:t>
            </w:r>
            <w:r>
              <w:rPr>
                <w:rFonts w:hint="eastAsia" w:ascii="宋体" w:hAnsi="宋体" w:cs="宋体"/>
                <w:color w:val="000000"/>
                <w:kern w:val="0"/>
                <w:szCs w:val="21"/>
              </w:rPr>
              <w:br w:type="textWrapping"/>
            </w:r>
            <w:r>
              <w:rPr>
                <w:rFonts w:hint="eastAsia" w:ascii="宋体" w:hAnsi="宋体" w:cs="宋体"/>
                <w:color w:val="000000"/>
                <w:kern w:val="0"/>
                <w:szCs w:val="21"/>
              </w:rPr>
              <w:t>4-损益</w:t>
            </w:r>
            <w:r>
              <w:rPr>
                <w:rFonts w:hint="eastAsia" w:ascii="宋体" w:hAnsi="宋体" w:cs="宋体"/>
                <w:color w:val="000000"/>
                <w:kern w:val="0"/>
                <w:szCs w:val="21"/>
              </w:rPr>
              <w:br w:type="textWrapping"/>
            </w:r>
            <w:r>
              <w:rPr>
                <w:rFonts w:hint="eastAsia" w:ascii="宋体" w:hAnsi="宋体" w:cs="宋体"/>
                <w:color w:val="000000"/>
                <w:kern w:val="0"/>
                <w:szCs w:val="21"/>
              </w:rPr>
              <w:t>5-资产负债共同类</w:t>
            </w:r>
            <w:r>
              <w:rPr>
                <w:rFonts w:hint="eastAsia" w:ascii="宋体" w:hAnsi="宋体" w:cs="宋体"/>
                <w:color w:val="000000"/>
                <w:kern w:val="0"/>
                <w:szCs w:val="21"/>
              </w:rPr>
              <w:br w:type="textWrapping"/>
            </w:r>
            <w:r>
              <w:rPr>
                <w:rFonts w:hint="eastAsia" w:ascii="宋体" w:hAnsi="宋体" w:cs="宋体"/>
                <w:color w:val="000000"/>
                <w:kern w:val="0"/>
                <w:szCs w:val="21"/>
              </w:rPr>
              <w:t>6-表外</w:t>
            </w:r>
            <w:r>
              <w:rPr>
                <w:rFonts w:hint="eastAsia" w:ascii="宋体" w:hAnsi="宋体" w:cs="宋体"/>
                <w:color w:val="000000"/>
                <w:kern w:val="0"/>
                <w:szCs w:val="21"/>
              </w:rPr>
              <w:br w:type="textWrapping"/>
            </w:r>
            <w:r>
              <w:rPr>
                <w:rFonts w:hint="eastAsia" w:ascii="宋体" w:hAnsi="宋体" w:cs="宋体"/>
                <w:color w:val="000000"/>
                <w:kern w:val="0"/>
                <w:szCs w:val="21"/>
              </w:rPr>
              <w:t>7-其他</w:t>
            </w:r>
          </w:p>
        </w:tc>
      </w:tr>
    </w:tbl>
    <w:p>
      <w:pPr>
        <w:pStyle w:val="44"/>
        <w:spacing w:line="560" w:lineRule="exact"/>
        <w:rPr>
          <w:rFonts w:ascii="Calibri" w:hAnsi="Calibri"/>
          <w:szCs w:val="22"/>
        </w:rPr>
      </w:pPr>
    </w:p>
    <w:p>
      <w:pPr>
        <w:pStyle w:val="6"/>
        <w:numPr>
          <w:ilvl w:val="0"/>
          <w:numId w:val="4"/>
        </w:numPr>
        <w:ind w:firstLine="600"/>
      </w:pPr>
      <w:r>
        <w:rPr>
          <w:rFonts w:hint="eastAsia"/>
        </w:rPr>
        <w:t>财务凭证信息表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3"/>
        <w:gridCol w:w="1434"/>
        <w:gridCol w:w="846"/>
        <w:gridCol w:w="845"/>
        <w:gridCol w:w="718"/>
        <w:gridCol w:w="3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3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3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716"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CWPZXXB</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财务凭证信息表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0203</w:t>
            </w:r>
          </w:p>
        </w:tc>
        <w:tc>
          <w:tcPr>
            <w:tcW w:w="4716"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本表报送境内法人全科目所有凭证数据，包括所有进行账务处理的机构（至少应包括总部、省分公司、中心支公司等实体机构）。填报每日全科目凭证记录信息。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3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3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84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5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保险账套编号</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BXZTBH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保险公司自己的账套编码，应具有唯一标识。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保险账套名称</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BXZTMC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保险公司自己的账套名称，应具有唯一标识。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分支机构代码</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保险公司分支机构的内部编码。关联数据项：分支机构信息表-分支机构代码。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归属期间</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GSQJ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001003</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凭证的归属年月，YYYYMM。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记账日期</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JZRQ1</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凭证的记账日期，YYYYMMDD。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记账凭证号</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JZPZH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保险公司内部根据一定的规则编制的凭证编号，为唯一标识。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总账会计科目编号</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KMBH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保险公司自己使用的科目编码。关联数据项：内部科目对照表-总账会计科目编号。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总账会计科目名称</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KMMC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保险公司自己使用的科目名称。关联数据项：内部科目对照表-总账会计科目名称。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凭证来源</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PZLY</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凭证的系统来源描述。比如：来源于投资系统、核心系统、费用报销系统等。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摘要</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ZY1</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记账凭证摘要。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交易币借方</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JYBJF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交易币借方发生金额。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交易币贷方</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JYBDF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交易币贷方发生金额。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本位币借方</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BWBJF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交易币按照既定规则的汇率折成的本位币借方发生金额。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本位币贷方</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BWBDF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交易币按照既定规则的汇率折成的本位币贷方发生金额。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业务系统条款编号</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YWXTTKBH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004002</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保险公司业务系统记录的保险条款编号，对应条款定义表的条款编号。关联数据项：条款定义表-条款编号。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财务系统条款编号</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CWXTTKBH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004002</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保险公司财务系统记录的保险条款编号。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销售渠道类型</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XSQDLX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005005</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保险公司财务系统中渠道名称，对应《业务代码表》中的“销售渠道类型”，填报中文描述。例如：直销业务、代理业务和经纪业务等。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险类</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004001</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产品的险种分类，凭证科目为保费收入、手续费、直接佣金、赔付支出时，必填，对应《业务代码表》中的“险类”，填报中文描述。例如：机动车辆保险-机动车商业保险（非强制保险）-机动车商业三者险、机动车商业车损险、企业财产保险、特殊风险财产保险-航空保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批次号</w:t>
            </w:r>
          </w:p>
        </w:tc>
        <w:tc>
          <w:tcPr>
            <w:tcW w:w="14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PCH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财务凭证对应的保单批次号或保单号。</w:t>
            </w:r>
          </w:p>
        </w:tc>
      </w:tr>
    </w:tbl>
    <w:p>
      <w:pPr>
        <w:pStyle w:val="44"/>
        <w:spacing w:line="560" w:lineRule="exact"/>
        <w:rPr>
          <w:rFonts w:ascii="Calibri" w:hAnsi="Calibri"/>
          <w:szCs w:val="22"/>
        </w:rPr>
      </w:pPr>
    </w:p>
    <w:p>
      <w:pPr>
        <w:pStyle w:val="6"/>
        <w:numPr>
          <w:ilvl w:val="0"/>
          <w:numId w:val="4"/>
        </w:numPr>
        <w:ind w:firstLine="600"/>
      </w:pPr>
      <w:r>
        <w:rPr>
          <w:rFonts w:hint="eastAsia"/>
        </w:rPr>
        <w:t>业务及管理费分科目明细账表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1368"/>
        <w:gridCol w:w="814"/>
        <w:gridCol w:w="690"/>
        <w:gridCol w:w="690"/>
        <w:gridCol w:w="2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87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374"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YWJGLFFKMMXZB</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业务及管理费分科目明细账表</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0204</w:t>
            </w:r>
          </w:p>
        </w:tc>
        <w:tc>
          <w:tcPr>
            <w:tcW w:w="4374"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业务管理过程中直接发生的有关费用，例如职工薪酬类、财产使用类、中介机构费用类、日常的费用类等，具体包括办公费、差旅费、会议费、培训费、折旧费、租赁费、职工工资、职工福利、审计费等。财产保险公司如果在</w:t>
            </w:r>
            <w:r>
              <w:rPr>
                <w:rFonts w:ascii="宋体" w:hAnsi="宋体" w:cs="宋体"/>
                <w:color w:val="000000"/>
                <w:kern w:val="0"/>
                <w:szCs w:val="21"/>
              </w:rPr>
              <w:t>2个以上的科目核算，需要按照科目分别全部报送。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87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99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保险账套编号</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BXZTBH</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保险公司自己的账套编码，应具有唯一标识。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保险账套名称</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BXZTMC</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保险公司自己的账套名称，应具有唯一标识。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分支机构代码</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FZJGDM</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保险公司分支机构的内部编码。关联数据项：分支机构信息表-分支机构代码。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总账会计科目编号</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KMBH</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保险公司除手续费及佣金以外的所有费用类科目编号。关联数据项：内部科目对照表-总账会计科目编号。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总账会计科目名称</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KMMC</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保险公司除手续费及佣金以外的所有费用类科目名称，例如：业务及管理费、营业费用、管理费用等类似科目。关联数据项：内部科目对照表-总账会计科目名称。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统计业管费类型</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TJYGFLX</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002006</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内部科目对应监管统计报送业管费类型名称，对应《业务代码表》中的“统计业管费类型”，填报中文描述。例如：折旧费、业务宣传费、业务招待费等。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记账日期</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JZRQ1</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凭证记账日期。YYYYMMDD。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记账凭证号</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JZPZH</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保险公司内部根据一定的规则编制的凭证编号，为唯一标识。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摘要</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ZY1</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记账凭证摘要。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交易币借方</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JYBJF</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交易币借方发生金额。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交易币贷方</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JYBDF</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交易币贷方发生金额。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本位币借方</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BWBJF</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交易币按照既定规则的汇率折成的本位币借方发生金额。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本位币贷方</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BWBDF</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交易币按照既定规则的汇率折成的本位币贷方发生金额。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8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险类</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XL</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004001</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产品的险种分类，凭证科目为会议费、培训费、折旧费等时，必填，对应《业务代码表》中的“险类”，填报中文描述。例如：机动车辆保险-机动车商业保险（非强制保险）-机动车商业三者险、机动车商业车损险、企业财产保险、特殊风险财产保险-航空保险等。</w:t>
            </w:r>
          </w:p>
        </w:tc>
      </w:tr>
    </w:tbl>
    <w:p>
      <w:pPr>
        <w:pStyle w:val="44"/>
        <w:spacing w:line="560" w:lineRule="exact"/>
        <w:rPr>
          <w:rFonts w:ascii="Calibri" w:hAnsi="Calibri"/>
          <w:szCs w:val="22"/>
        </w:rPr>
      </w:pPr>
    </w:p>
    <w:p>
      <w:pPr>
        <w:pStyle w:val="6"/>
        <w:numPr>
          <w:ilvl w:val="0"/>
          <w:numId w:val="4"/>
        </w:numPr>
        <w:ind w:firstLine="600"/>
      </w:pPr>
      <w:r>
        <w:rPr>
          <w:rFonts w:hint="eastAsia"/>
        </w:rPr>
        <w:t>手续费及佣金分科目明细账表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1386"/>
        <w:gridCol w:w="823"/>
        <w:gridCol w:w="698"/>
        <w:gridCol w:w="698"/>
        <w:gridCol w:w="3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8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8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34"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SXFJYJFKMMXZB</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手续费及佣金分科目明细账表</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0205</w:t>
            </w:r>
          </w:p>
        </w:tc>
        <w:tc>
          <w:tcPr>
            <w:tcW w:w="4434"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本表报送财产保险公司发生的与生产经营有关的手续费、佣金支出。保险公司如果在</w:t>
            </w:r>
            <w:r>
              <w:rPr>
                <w:rFonts w:ascii="宋体" w:hAnsi="宋体" w:cs="宋体"/>
                <w:color w:val="000000"/>
                <w:kern w:val="0"/>
                <w:szCs w:val="21"/>
              </w:rPr>
              <w:t>2个以上的科目核算，需按照科目分别全部报送。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8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8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9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9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3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保险账套编号</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BXZTBH</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保险公司自己的账套编码，应具有唯一标识。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保险账套名称</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BXZTMC</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保险公司自己的账套名称，应具有唯一标识。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分支机构代码</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FZJGDM</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保险公司分支机构的内部编码。关联数据项：分支机构信息表-分支机构代码。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总账会计科目编号</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KMBH</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保险公司手续费、佣金类科目编号。关联数据项：内部科目对照表-总账会计科目编号。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总账会计科目名称</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KMMC</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保险公司手续费、佣金类科目名称，例如：手续费、佣金、手续费及佣金。关联数据项：内部科目对照表-总账会计科目名称。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记账日期</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JZRQ1</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凭证记账日期。YYYYMMDD。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记账凭证号</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JZPZH</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保险公司内部根据一定的规则编制的凭证编号，为唯一标识。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摘要</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ZY1</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记账凭证摘要。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交易币借方</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JYBJF</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交易币借方发生金额。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交易币贷方</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JYBDF</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交易币贷方发生金额。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本位币借方</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BWBJF</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交易币按照既定规则的汇率折成的本位币借方发生金额。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本位币贷方</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BWBDF</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交易币按照既定规则的汇率折成的本位币贷方发生金额。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险类</w:t>
            </w:r>
          </w:p>
        </w:tc>
        <w:tc>
          <w:tcPr>
            <w:tcW w:w="13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XL</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004001</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3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产品的险种分类，凭证科目为保费收入、手续费、直接佣金、赔付支出时，必填，对应《业务代码表》中的“险类”，填报中文描述。例如：机动车辆保险-机动车商业保险（非强制保险）-机动车商业三者险、机动车商业车损险、企业财产保险、特殊风险财产保险-航空保险等。</w:t>
            </w:r>
          </w:p>
        </w:tc>
      </w:tr>
    </w:tbl>
    <w:p>
      <w:pPr>
        <w:pStyle w:val="44"/>
        <w:spacing w:line="560" w:lineRule="exact"/>
        <w:rPr>
          <w:rFonts w:ascii="Calibri" w:hAnsi="Calibri"/>
          <w:szCs w:val="22"/>
        </w:rPr>
      </w:pPr>
    </w:p>
    <w:p>
      <w:pPr>
        <w:pStyle w:val="6"/>
        <w:numPr>
          <w:ilvl w:val="0"/>
          <w:numId w:val="4"/>
        </w:numPr>
        <w:ind w:firstLine="600"/>
      </w:pPr>
      <w:r>
        <w:rPr>
          <w:rFonts w:hint="eastAsia"/>
        </w:rPr>
        <w:t>银行账户信息表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银行账户信息表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0206</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本表报送财产保险公司所有银行账户信息。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分支机构代码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FZJGDM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保险公司分支机构的内部编码。关联数据项：分支机构信息表-分支机构代码。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保险公司开户行名称。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保险公司开户银行的账号。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银行账户名称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银行账户名称。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银行账户类型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002004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保险公司银行账户的类型。对应《业务代码表》中的“银行账户类型”，填报中文描述。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银行账户状态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YHZHZT</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002005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保险公司银行账户的目前状态，填报中文描述。包括：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未启用</w:t>
            </w:r>
            <w:r>
              <w:rPr>
                <w:rFonts w:hint="eastAsia" w:ascii="宋体" w:hAnsi="宋体" w:cs="宋体"/>
                <w:color w:val="000000"/>
                <w:kern w:val="0"/>
                <w:szCs w:val="21"/>
              </w:rPr>
              <w:br w:type="textWrapping"/>
            </w:r>
            <w:r>
              <w:rPr>
                <w:rFonts w:hint="eastAsia" w:ascii="宋体" w:hAnsi="宋体" w:cs="宋体"/>
                <w:color w:val="000000"/>
                <w:kern w:val="0"/>
                <w:szCs w:val="21"/>
              </w:rPr>
              <w:t>正常</w:t>
            </w:r>
            <w:r>
              <w:rPr>
                <w:rFonts w:hint="eastAsia" w:ascii="宋体" w:hAnsi="宋体" w:cs="宋体"/>
                <w:color w:val="000000"/>
                <w:kern w:val="0"/>
                <w:szCs w:val="21"/>
              </w:rPr>
              <w:br w:type="textWrapping"/>
            </w:r>
            <w:r>
              <w:rPr>
                <w:rFonts w:hint="eastAsia" w:ascii="宋体" w:hAnsi="宋体" w:cs="宋体"/>
                <w:color w:val="000000"/>
                <w:kern w:val="0"/>
                <w:szCs w:val="21"/>
              </w:rPr>
              <w:t>冻结</w:t>
            </w:r>
            <w:r>
              <w:rPr>
                <w:rFonts w:hint="eastAsia" w:ascii="宋体" w:hAnsi="宋体" w:cs="宋体"/>
                <w:color w:val="000000"/>
                <w:kern w:val="0"/>
                <w:szCs w:val="21"/>
              </w:rPr>
              <w:br w:type="textWrapping"/>
            </w:r>
            <w:r>
              <w:rPr>
                <w:rFonts w:hint="eastAsia" w:ascii="宋体" w:hAnsi="宋体" w:cs="宋体"/>
                <w:color w:val="000000"/>
                <w:kern w:val="0"/>
                <w:szCs w:val="21"/>
              </w:rPr>
              <w:t>注销</w:t>
            </w:r>
            <w:r>
              <w:rPr>
                <w:rFonts w:hint="eastAsia" w:ascii="宋体" w:hAnsi="宋体" w:cs="宋体"/>
                <w:color w:val="000000"/>
                <w:kern w:val="0"/>
                <w:szCs w:val="21"/>
              </w:rPr>
              <w:br w:type="textWrapping"/>
            </w:r>
            <w:r>
              <w:rPr>
                <w:rFonts w:hint="eastAsia" w:ascii="宋体" w:hAnsi="宋体" w:cs="宋体"/>
                <w:color w:val="000000"/>
                <w:kern w:val="0"/>
                <w:szCs w:val="21"/>
              </w:rPr>
              <w:t>作废</w:t>
            </w:r>
            <w:r>
              <w:rPr>
                <w:rFonts w:hint="eastAsia" w:ascii="宋体" w:hAnsi="宋体" w:cs="宋体"/>
                <w:color w:val="000000"/>
                <w:kern w:val="0"/>
                <w:szCs w:val="21"/>
              </w:rPr>
              <w:br w:type="textWrapping"/>
            </w:r>
            <w:r>
              <w:rPr>
                <w:rFonts w:hint="eastAsia" w:ascii="宋体" w:hAnsi="宋体" w:cs="宋体"/>
                <w:color w:val="000000"/>
                <w:kern w:val="0"/>
                <w:szCs w:val="21"/>
              </w:rPr>
              <w:t>挂失</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开户日期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KHRQ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保险公司银行开户日期。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销户日期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XHRQ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保险公司银行销户日期。如未销户，填写默认值99991231。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境外标志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JWBZ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银行账户是否为境外账户。填报中文描述：是，否。</w:t>
            </w:r>
          </w:p>
        </w:tc>
      </w:tr>
    </w:tbl>
    <w:p>
      <w:pPr>
        <w:pStyle w:val="44"/>
        <w:spacing w:line="560" w:lineRule="exact"/>
        <w:rPr>
          <w:rFonts w:ascii="Calibri" w:hAnsi="Calibri"/>
          <w:szCs w:val="22"/>
        </w:rPr>
      </w:pPr>
    </w:p>
    <w:p>
      <w:pPr>
        <w:pStyle w:val="4"/>
      </w:pPr>
      <w:bookmarkStart w:id="41" w:name="_Toc881755621"/>
      <w:bookmarkStart w:id="42" w:name="_Toc2938"/>
      <w:r>
        <w:rPr>
          <w:rFonts w:hint="eastAsia"/>
        </w:rPr>
        <w:t>客户信息</w:t>
      </w:r>
      <w:bookmarkEnd w:id="41"/>
      <w:bookmarkEnd w:id="42"/>
    </w:p>
    <w:p>
      <w:pPr>
        <w:pStyle w:val="51"/>
        <w:numPr>
          <w:ilvl w:val="0"/>
          <w:numId w:val="8"/>
        </w:numPr>
      </w:pPr>
      <w:r>
        <w:rPr>
          <w:rFonts w:hint="eastAsia"/>
        </w:rPr>
        <w:t>个人客户信息表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GRKHXXB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个人客户信息表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0301</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本表报送财产保险公司记录的所有个人客户的基本信息，包括投保人与被保险人所涉及到的个人客户信息，若受益人在系统中以客户形式存储也应进行报送。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客户编号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KHBH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个人客户在保险公司的唯一标识。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姓名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客户姓名。隐私，财产保险公司变形。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性别</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XB</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客户性别，填报中文描述。包括：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未知的性别</w:t>
            </w:r>
            <w:r>
              <w:rPr>
                <w:rFonts w:hint="eastAsia" w:ascii="宋体" w:hAnsi="宋体" w:cs="宋体"/>
                <w:color w:val="000000"/>
                <w:kern w:val="0"/>
                <w:szCs w:val="21"/>
              </w:rPr>
              <w:br w:type="textWrapping"/>
            </w:r>
            <w:r>
              <w:rPr>
                <w:rFonts w:hint="eastAsia" w:ascii="宋体" w:hAnsi="宋体" w:cs="宋体"/>
                <w:color w:val="000000"/>
                <w:kern w:val="0"/>
                <w:szCs w:val="21"/>
              </w:rPr>
              <w:t>男性</w:t>
            </w:r>
            <w:r>
              <w:rPr>
                <w:rFonts w:hint="eastAsia" w:ascii="宋体" w:hAnsi="宋体" w:cs="宋体"/>
                <w:color w:val="000000"/>
                <w:kern w:val="0"/>
                <w:szCs w:val="21"/>
              </w:rPr>
              <w:br w:type="textWrapping"/>
            </w:r>
            <w:r>
              <w:rPr>
                <w:rFonts w:hint="eastAsia" w:ascii="宋体" w:hAnsi="宋体" w:cs="宋体"/>
                <w:color w:val="000000"/>
                <w:kern w:val="0"/>
                <w:szCs w:val="21"/>
              </w:rPr>
              <w:t>女性</w:t>
            </w:r>
            <w:r>
              <w:rPr>
                <w:rFonts w:hint="eastAsia" w:ascii="宋体" w:hAnsi="宋体" w:cs="宋体"/>
                <w:color w:val="000000"/>
                <w:kern w:val="0"/>
                <w:szCs w:val="21"/>
              </w:rPr>
              <w:br w:type="textWrapping"/>
            </w:r>
            <w:r>
              <w:rPr>
                <w:rFonts w:hint="eastAsia" w:ascii="宋体" w:hAnsi="宋体" w:cs="宋体"/>
                <w:color w:val="000000"/>
                <w:kern w:val="0"/>
                <w:szCs w:val="21"/>
              </w:rPr>
              <w:t>未说明的性别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出生日期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客户出生日期，默认值为99991231。隐私，暂不取。公司需在本地保留原文数据，并报送99991231。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证件类型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个人客户的证件类型，对应《业务代码表》中的“个人身份证件类型”，填报中文描述。例如：居民身份证、军人身份证件、护照、出生医学证明等。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证件号码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ZJHM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个人客户证件号码。隐私，财产保险公司变形。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证件有效起始日期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ZJYXQSRQ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客户证件有效起期。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证件有效终止日期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ZJYXZZRQ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客户证件有效止期。若长期有效则填报99991231。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职业</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从业人员为获取主要生活来源所从事的社会性工作的类别，对应《业务代码表》中的“职业”，填报中文描述。例如：机关-机关团体公司行号-内勤人员。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国籍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个人客户的国籍，对应《业务代码表》中的“国别”，填报中文描述。例如：中国、英国、美国。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婚姻状况</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HYZK</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客户的婚姻状况。填报中文描述。包括：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未婚</w:t>
            </w:r>
            <w:r>
              <w:rPr>
                <w:rFonts w:hint="eastAsia" w:ascii="宋体" w:hAnsi="宋体" w:cs="宋体"/>
                <w:color w:val="000000"/>
                <w:kern w:val="0"/>
                <w:szCs w:val="21"/>
              </w:rPr>
              <w:br w:type="textWrapping"/>
            </w:r>
            <w:r>
              <w:rPr>
                <w:rFonts w:hint="eastAsia" w:ascii="宋体" w:hAnsi="宋体" w:cs="宋体"/>
                <w:color w:val="000000"/>
                <w:kern w:val="0"/>
                <w:szCs w:val="21"/>
              </w:rPr>
              <w:t>已婚</w:t>
            </w:r>
            <w:r>
              <w:rPr>
                <w:rFonts w:hint="eastAsia" w:ascii="宋体" w:hAnsi="宋体" w:cs="宋体"/>
                <w:color w:val="000000"/>
                <w:kern w:val="0"/>
                <w:szCs w:val="21"/>
              </w:rPr>
              <w:br w:type="textWrapping"/>
            </w:r>
            <w:r>
              <w:rPr>
                <w:rFonts w:hint="eastAsia" w:ascii="宋体" w:hAnsi="宋体" w:cs="宋体"/>
                <w:color w:val="000000"/>
                <w:kern w:val="0"/>
                <w:szCs w:val="21"/>
              </w:rPr>
              <w:t>丧偶</w:t>
            </w:r>
            <w:r>
              <w:rPr>
                <w:rFonts w:hint="eastAsia" w:ascii="宋体" w:hAnsi="宋体" w:cs="宋体"/>
                <w:color w:val="000000"/>
                <w:kern w:val="0"/>
                <w:szCs w:val="21"/>
              </w:rPr>
              <w:br w:type="textWrapping"/>
            </w:r>
            <w:r>
              <w:rPr>
                <w:rFonts w:hint="eastAsia" w:ascii="宋体" w:hAnsi="宋体" w:cs="宋体"/>
                <w:color w:val="000000"/>
                <w:kern w:val="0"/>
                <w:szCs w:val="21"/>
              </w:rPr>
              <w:t>离婚</w:t>
            </w:r>
            <w:r>
              <w:rPr>
                <w:rFonts w:hint="eastAsia" w:ascii="宋体" w:hAnsi="宋体" w:cs="宋体"/>
                <w:color w:val="000000"/>
                <w:kern w:val="0"/>
                <w:szCs w:val="21"/>
              </w:rPr>
              <w:br w:type="textWrapping"/>
            </w:r>
            <w:r>
              <w:rPr>
                <w:rFonts w:hint="eastAsia" w:ascii="宋体" w:hAnsi="宋体" w:cs="宋体"/>
                <w:color w:val="000000"/>
                <w:kern w:val="0"/>
                <w:szCs w:val="21"/>
              </w:rPr>
              <w:t>未说明的婚姻状况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移动电话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YDDH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客户的移动电话。隐私，暂不取。公司需在本地保留原文数据，并报送“隐私”。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固定电话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GDDH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客户的固定电话。隐私，暂不取。公司需在本地保留原文数据，并报送“隐私”。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电子邮箱</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DZYX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客户的电子邮箱地址。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学历</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XL1</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客户的学历，填报中文描述。包括：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博士</w:t>
            </w:r>
            <w:r>
              <w:rPr>
                <w:rFonts w:hint="eastAsia" w:ascii="宋体" w:hAnsi="宋体" w:cs="宋体"/>
                <w:color w:val="000000"/>
                <w:kern w:val="0"/>
                <w:szCs w:val="21"/>
              </w:rPr>
              <w:br w:type="textWrapping"/>
            </w:r>
            <w:r>
              <w:rPr>
                <w:rFonts w:hint="eastAsia" w:ascii="宋体" w:hAnsi="宋体" w:cs="宋体"/>
                <w:color w:val="000000"/>
                <w:kern w:val="0"/>
                <w:szCs w:val="21"/>
              </w:rPr>
              <w:t>硕士</w:t>
            </w:r>
            <w:r>
              <w:rPr>
                <w:rFonts w:hint="eastAsia" w:ascii="宋体" w:hAnsi="宋体" w:cs="宋体"/>
                <w:color w:val="000000"/>
                <w:kern w:val="0"/>
                <w:szCs w:val="21"/>
              </w:rPr>
              <w:br w:type="textWrapping"/>
            </w:r>
            <w:r>
              <w:rPr>
                <w:rFonts w:hint="eastAsia" w:ascii="宋体" w:hAnsi="宋体" w:cs="宋体"/>
                <w:color w:val="000000"/>
                <w:kern w:val="0"/>
                <w:szCs w:val="21"/>
              </w:rPr>
              <w:t>本科</w:t>
            </w:r>
            <w:r>
              <w:rPr>
                <w:rFonts w:hint="eastAsia" w:ascii="宋体" w:hAnsi="宋体" w:cs="宋体"/>
                <w:color w:val="000000"/>
                <w:kern w:val="0"/>
                <w:szCs w:val="21"/>
              </w:rPr>
              <w:br w:type="textWrapping"/>
            </w:r>
            <w:r>
              <w:rPr>
                <w:rFonts w:hint="eastAsia" w:ascii="宋体" w:hAnsi="宋体" w:cs="宋体"/>
                <w:color w:val="000000"/>
                <w:kern w:val="0"/>
                <w:szCs w:val="21"/>
              </w:rPr>
              <w:t>大专</w:t>
            </w:r>
            <w:r>
              <w:rPr>
                <w:rFonts w:hint="eastAsia" w:ascii="宋体" w:hAnsi="宋体" w:cs="宋体"/>
                <w:color w:val="000000"/>
                <w:kern w:val="0"/>
                <w:szCs w:val="21"/>
              </w:rPr>
              <w:br w:type="textWrapping"/>
            </w:r>
            <w:r>
              <w:rPr>
                <w:rFonts w:hint="eastAsia" w:ascii="宋体" w:hAnsi="宋体" w:cs="宋体"/>
                <w:color w:val="000000"/>
                <w:kern w:val="0"/>
                <w:szCs w:val="21"/>
              </w:rPr>
              <w:t>高中及同等学历</w:t>
            </w:r>
            <w:r>
              <w:rPr>
                <w:rFonts w:hint="eastAsia" w:ascii="宋体" w:hAnsi="宋体" w:cs="宋体"/>
                <w:color w:val="000000"/>
                <w:kern w:val="0"/>
                <w:szCs w:val="21"/>
              </w:rPr>
              <w:br w:type="textWrapping"/>
            </w:r>
            <w:r>
              <w:rPr>
                <w:rFonts w:hint="eastAsia" w:ascii="宋体" w:hAnsi="宋体" w:cs="宋体"/>
                <w:color w:val="000000"/>
                <w:kern w:val="0"/>
                <w:szCs w:val="21"/>
              </w:rPr>
              <w:t>初中</w:t>
            </w:r>
            <w:r>
              <w:rPr>
                <w:rFonts w:hint="eastAsia" w:ascii="宋体" w:hAnsi="宋体" w:cs="宋体"/>
                <w:color w:val="000000"/>
                <w:kern w:val="0"/>
                <w:szCs w:val="21"/>
              </w:rPr>
              <w:br w:type="textWrapping"/>
            </w:r>
            <w:r>
              <w:rPr>
                <w:rFonts w:hint="eastAsia" w:ascii="宋体" w:hAnsi="宋体" w:cs="宋体"/>
                <w:color w:val="000000"/>
                <w:kern w:val="0"/>
                <w:szCs w:val="21"/>
              </w:rPr>
              <w:t>小学</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个人年收入</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GRNSR</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客户的年度总收入，单位元（人民币）。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地址所在省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DZSZS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地址所在地市</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DZSZDS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地址所在市，默认值000000，对应《业务代码表》中的“县及县以上行政区划”，填报中文描述。例如：石家庄市、唐山市、邯郸市等。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地址所在区县</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DZSZQX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地址对应的区县，对应《业务代码表》中的“县及县以上行政区划”，默认值000000，填报中文描述。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实名认证通过标志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SMRZTGBZ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是否依据《个人保险实名制管理办法》相关要求通过实名认证。填报中文描述：是，否。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实名认证方式</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SMRZFS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003014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进行实名认证的方式。其中，对于城乡居民大病保险、长期护理保险等社会保险业务，若医保等政府部门已对被保险人个人信息进行前置身份核实，且保险公司从相关部门已获取被保险人个人信息的，填报前置认证；对于无法通过国家相关数据库进行查验，由保险公司、保险中介机构自主进行客户身份认证的，填报保险机构自主认证。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保险实名查验登记系统认证</w:t>
            </w:r>
            <w:r>
              <w:rPr>
                <w:rFonts w:hint="eastAsia" w:ascii="宋体" w:hAnsi="宋体" w:cs="宋体"/>
                <w:color w:val="000000"/>
                <w:kern w:val="0"/>
                <w:szCs w:val="21"/>
              </w:rPr>
              <w:br w:type="textWrapping"/>
            </w:r>
            <w:r>
              <w:rPr>
                <w:rFonts w:hint="eastAsia" w:ascii="宋体" w:hAnsi="宋体" w:cs="宋体"/>
                <w:color w:val="000000"/>
                <w:kern w:val="0"/>
                <w:szCs w:val="21"/>
              </w:rPr>
              <w:t>前置认证</w:t>
            </w:r>
            <w:r>
              <w:rPr>
                <w:rFonts w:hint="eastAsia" w:ascii="宋体" w:hAnsi="宋体" w:cs="宋体"/>
                <w:color w:val="000000"/>
                <w:kern w:val="0"/>
                <w:szCs w:val="21"/>
              </w:rPr>
              <w:br w:type="textWrapping"/>
            </w:r>
            <w:r>
              <w:rPr>
                <w:rFonts w:hint="eastAsia" w:ascii="宋体" w:hAnsi="宋体" w:cs="宋体"/>
                <w:color w:val="000000"/>
                <w:kern w:val="0"/>
                <w:szCs w:val="21"/>
              </w:rPr>
              <w:t>保险机构自主认证</w:t>
            </w:r>
          </w:p>
        </w:tc>
      </w:tr>
    </w:tbl>
    <w:p>
      <w:pPr>
        <w:pStyle w:val="44"/>
        <w:spacing w:line="560" w:lineRule="exact"/>
      </w:pPr>
    </w:p>
    <w:p>
      <w:pPr>
        <w:pStyle w:val="6"/>
        <w:numPr>
          <w:ilvl w:val="0"/>
          <w:numId w:val="4"/>
        </w:numPr>
        <w:ind w:firstLine="600"/>
      </w:pPr>
      <w:r>
        <w:rPr>
          <w:rFonts w:hint="eastAsia"/>
        </w:rPr>
        <w:t>团体客户信息表</w:t>
      </w:r>
    </w:p>
    <w:tbl>
      <w:tblPr>
        <w:tblStyle w:val="28"/>
        <w:tblW w:w="8378"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84"/>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8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TTKHXXB</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团体客户信息表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0302</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本表报送财产保险公司记录的所有团体客户的基本信息，包含投保时以企业或非企业组织形式投保留存的非自然人的客户信息。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8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客户编号</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KHBH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团体客户在保险公司的唯一标识。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法定代表人/负责人</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FDDBRFZR</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营业执照上的法定代表人/负责人姓名。隐私，财产保险公司变形。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投保单位名称</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TBDWMC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投保单位名称。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客户证件类型</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KHZJLX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客户的证件类型，优先填报统一社会信用代码，对应《业务代码表》中的“机构证件类型”，填报中文描述。例如：统一社会信用代码、组织机构代码证等。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客户证件号码</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KHZJHM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团体客户的证件号码。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证件有效起始日期</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ZJYXQSRQ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客户有效证件上的有效期开始日期。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证件有效终止日期</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ZJYXZZRQ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客户有效证件上的有效期截止日期。若长期有效则填报99991231。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全球法人机构识别编码</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QQFRJGSBBH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003011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LEI是按照国际标准化组织ISO 17442标准为全球法人分配的唯一识别编码，LEI编码是由20位数字和字母组成的唯一编码。我国LEI编码包括前缀码部分、预留位部分、机构特定部分和校验位四部分。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企业成立日期</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QYCLRQ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企业成立的日期。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企业规模类型</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QYGMLX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013006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企业规模类型，根据《统计上大中小微型企业划分办法(2017)》国统字〔2017〕213号分类标准划分，填报中文描述。包括：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大型</w:t>
            </w:r>
            <w:r>
              <w:rPr>
                <w:rFonts w:hint="eastAsia" w:ascii="宋体" w:hAnsi="宋体" w:cs="宋体"/>
                <w:color w:val="000000"/>
                <w:kern w:val="0"/>
                <w:szCs w:val="21"/>
              </w:rPr>
              <w:br w:type="textWrapping"/>
            </w:r>
            <w:r>
              <w:rPr>
                <w:rFonts w:hint="eastAsia" w:ascii="宋体" w:hAnsi="宋体" w:cs="宋体"/>
                <w:color w:val="000000"/>
                <w:kern w:val="0"/>
                <w:szCs w:val="21"/>
              </w:rPr>
              <w:t>中型</w:t>
            </w:r>
            <w:r>
              <w:rPr>
                <w:rFonts w:hint="eastAsia" w:ascii="宋体" w:hAnsi="宋体" w:cs="宋体"/>
                <w:color w:val="000000"/>
                <w:kern w:val="0"/>
                <w:szCs w:val="21"/>
              </w:rPr>
              <w:br w:type="textWrapping"/>
            </w:r>
            <w:r>
              <w:rPr>
                <w:rFonts w:hint="eastAsia" w:ascii="宋体" w:hAnsi="宋体" w:cs="宋体"/>
                <w:color w:val="000000"/>
                <w:kern w:val="0"/>
                <w:szCs w:val="21"/>
              </w:rPr>
              <w:t>小型</w:t>
            </w:r>
            <w:r>
              <w:rPr>
                <w:rFonts w:hint="eastAsia" w:ascii="宋体" w:hAnsi="宋体" w:cs="宋体"/>
                <w:color w:val="000000"/>
                <w:kern w:val="0"/>
                <w:szCs w:val="21"/>
              </w:rPr>
              <w:br w:type="textWrapping"/>
            </w:r>
            <w:r>
              <w:rPr>
                <w:rFonts w:hint="eastAsia" w:ascii="宋体" w:hAnsi="宋体" w:cs="宋体"/>
                <w:color w:val="000000"/>
                <w:kern w:val="0"/>
                <w:szCs w:val="21"/>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单位性质</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DWXZ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013001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对应《业务代码表》中的“单位性质”，填报中文描述。例如：国家机关、党政机关、社会团体等。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行业分类</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HYFL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013003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单位的行业分类，对应《业务代码表》中的“国民经济行业分类”，填报中文描述。例如：农业、林业、采矿业、制造业等。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注册资本</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ZCZB</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营业执照上的注册资本。单位元（人民币）。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注册地址</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ZCDZ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营业执照上的住所或经营场所。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企业电话号码</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QYDHHM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单位电话号码。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联系人姓名</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LXRXM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单位的联系人姓名。隐私，财产保险公司变形。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联系人手机号码</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LXRSJHM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单位的联系人移动号码。隐私，暂不取。公司需在本地保留原文数据，并报送“隐私”。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联系人固话号码</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LXRGHHM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单位的联系人固定号码。隐私，暂不取。公司需在本地保留原文数据，并报送“隐私”。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参加社会统筹标志</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CJSHTCBZ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单位是否参加社会统筹的标志，填报中文描述：是，否。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地址所在省</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DZSZS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地址所在地市</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DZSZDS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地址所在市，默认值000000，对应《业务代码表》中的“县及县以上行政区划”，填报中文描述。例如：石家庄市、唐山市、邯郸市等。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地址所在区县</w:t>
            </w:r>
          </w:p>
        </w:tc>
        <w:tc>
          <w:tcPr>
            <w:tcW w:w="14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DZSZQX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地址对应的区县，对应《业务代码表》中的“县及县以上行政区划”，默认值000000，填报中文描述。</w:t>
            </w:r>
          </w:p>
        </w:tc>
      </w:tr>
    </w:tbl>
    <w:p>
      <w:pPr>
        <w:pStyle w:val="44"/>
        <w:spacing w:line="560" w:lineRule="exact"/>
      </w:pPr>
    </w:p>
    <w:p>
      <w:pPr>
        <w:pStyle w:val="6"/>
        <w:numPr>
          <w:ilvl w:val="0"/>
          <w:numId w:val="4"/>
        </w:numPr>
        <w:ind w:firstLine="600"/>
      </w:pPr>
      <w:r>
        <w:rPr>
          <w:rFonts w:hint="eastAsia"/>
        </w:rPr>
        <w:t>客户保单对照表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KHBDDZB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客户保单对照表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0303</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本表报送财产保险公司所有客户名下的有效保单信息。当同一保单投被保人为同一人时，需报送两条数据，以客户属性进行区分。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客户编号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KHBH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保险公司自行存储的唯一识别该客户的编号。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客户属性</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KHSX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003013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客户属性，填报中文描述。包括：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投保人</w:t>
            </w:r>
            <w:r>
              <w:rPr>
                <w:rFonts w:hint="eastAsia" w:ascii="宋体" w:hAnsi="宋体" w:cs="宋体"/>
                <w:color w:val="000000"/>
                <w:kern w:val="0"/>
                <w:szCs w:val="21"/>
              </w:rPr>
              <w:br w:type="textWrapping"/>
            </w:r>
            <w:r>
              <w:rPr>
                <w:rFonts w:hint="eastAsia" w:ascii="宋体" w:hAnsi="宋体" w:cs="宋体"/>
                <w:color w:val="000000"/>
                <w:kern w:val="0"/>
                <w:szCs w:val="21"/>
              </w:rPr>
              <w:t>被保人</w:t>
            </w:r>
            <w:r>
              <w:rPr>
                <w:rFonts w:hint="eastAsia" w:ascii="宋体" w:hAnsi="宋体" w:cs="宋体"/>
                <w:color w:val="000000"/>
                <w:kern w:val="0"/>
                <w:szCs w:val="21"/>
              </w:rPr>
              <w:br w:type="textWrapping"/>
            </w:r>
            <w:r>
              <w:rPr>
                <w:rFonts w:hint="eastAsia" w:ascii="宋体" w:hAnsi="宋体" w:cs="宋体"/>
                <w:color w:val="000000"/>
                <w:kern w:val="0"/>
                <w:szCs w:val="21"/>
              </w:rPr>
              <w:t>第一受益人</w:t>
            </w:r>
            <w:r>
              <w:rPr>
                <w:rFonts w:hint="eastAsia" w:ascii="宋体" w:hAnsi="宋体" w:cs="宋体"/>
                <w:color w:val="000000"/>
                <w:kern w:val="0"/>
                <w:szCs w:val="21"/>
              </w:rPr>
              <w:br w:type="textWrapping"/>
            </w:r>
            <w:r>
              <w:rPr>
                <w:rFonts w:hint="eastAsia" w:ascii="宋体" w:hAnsi="宋体" w:cs="宋体"/>
                <w:color w:val="000000"/>
                <w:kern w:val="0"/>
                <w:szCs w:val="21"/>
              </w:rPr>
              <w:t>其他受益人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保单合同号。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关系有效标志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GXYXBZ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该客户与保单关系是否有效标志，填报中文描述：是，否。</w:t>
            </w:r>
          </w:p>
        </w:tc>
      </w:tr>
    </w:tbl>
    <w:p>
      <w:pPr>
        <w:pStyle w:val="44"/>
        <w:spacing w:line="560" w:lineRule="exact"/>
      </w:pPr>
    </w:p>
    <w:p>
      <w:pPr>
        <w:pStyle w:val="4"/>
      </w:pPr>
      <w:bookmarkStart w:id="43" w:name="_Toc2029557847"/>
      <w:bookmarkStart w:id="44" w:name="_Toc29670"/>
      <w:r>
        <w:rPr>
          <w:rFonts w:hint="eastAsia"/>
        </w:rPr>
        <w:t>产品信息</w:t>
      </w:r>
      <w:bookmarkEnd w:id="43"/>
      <w:bookmarkEnd w:id="44"/>
    </w:p>
    <w:p>
      <w:pPr>
        <w:pStyle w:val="51"/>
        <w:numPr>
          <w:ilvl w:val="0"/>
          <w:numId w:val="9"/>
        </w:numPr>
      </w:pPr>
      <w:r>
        <w:rPr>
          <w:rFonts w:hint="eastAsia"/>
        </w:rPr>
        <w:t>产品条款关系表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CPTKGXB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产品条款关系表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0401</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开业以来至今出过单的所有产品信息。其中，保险产品是指由保险人提供给保险市场的，能够引起人们注意、购买，从而满足人们减少风险和转移风险，必要时能得到一定的经济补偿需要的承诺性组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保险公司记录保险产品的唯一标识。其中，保险产品是指由保险公司提供给保险市场，能够引起人们注意、购买，从而满足人们减少和转移风险，且必要时能够得到一定经济补偿需要的承诺性组合。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保险产品的中文全称，应与向银行保险业监督管理机构报备的产品名称保持一致。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产品虚拟标志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CPXNBZ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如果在公司内部系统已进行合并虚拟，则虚拟标志为“是”。填报中文描述：是，否。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保险公司为条款分配的唯一管理编号。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起售日期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保险公司在保险市场开始销售本产品的日期。不应晚于该产品第一个保单开始投保的时间，不应早于完成产品开发流程并投放市场的时间。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停售日期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TSRQ1</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保险公司在保险市场停止销售本产品的时间。非停售产品默认值为99991231。如为重新销售，则记录最后一次的停售日期。</w:t>
            </w:r>
          </w:p>
        </w:tc>
      </w:tr>
    </w:tbl>
    <w:p>
      <w:pPr>
        <w:pStyle w:val="44"/>
        <w:spacing w:line="560" w:lineRule="exact"/>
      </w:pPr>
    </w:p>
    <w:p>
      <w:pPr>
        <w:pStyle w:val="6"/>
        <w:numPr>
          <w:ilvl w:val="0"/>
          <w:numId w:val="4"/>
        </w:numPr>
        <w:ind w:firstLine="600"/>
      </w:pPr>
      <w:r>
        <w:rPr>
          <w:rFonts w:hint="eastAsia"/>
        </w:rPr>
        <w:t>条款定义表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TKDYB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条款定义表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0402</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本表报送财产保险公司开业以来至今出过单的所有条款信息。其中，保险条款是指保险合同上规定的有关保险人与被保险人的权利、义务及其他保险事项的条文。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保险公司为条款分配的唯一管理编号。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条款报送类型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TKBSLX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根据保险业监督管理机构的相关规定，财产保险公司发起保险条款报备的报送形式和通道。1、审批制：符合《关于实施&lt;财产保险公司保险条款和保险费率管理办法&gt;有关问题的通知》（保监发〔2010〕43号）第一条，及《中国银保监会办公厅关于进一步加强和改进财产保险公司产品监管有关问题的通知》（银保监办发[2020]17号）中有关调整产品审批备案范围的规定，应当报中国保监会审批的条款，是为审批制。2、备案制：符合保监发〔2010〕43号文第一条，《中国保监会关于开展财产保险公司备案产品自主注册改革的通知》（保监发〔2016〕18号）中有关改革现有产品管理流程的规定，及银保监办发[2020]17号文中有关调整产品审批备案范围的规定，应当由公司直接向中国保监会报送备案材料的条款，不包含通过中国保险行业协会“财产保险公司备案产品自主注册平台”报送的条款，是为备案制。3、注册制：公司通过中国保险行业协会“财产保险公司备案产品自主注册平台”注册，中国保险行业协会负责将已注册条款向银保监会集中备案的条款，及公司依照《上海保监局关于实施航运保险产品注册制改革的通知》（上海保监局2015年6月18日）通过上海航运保险协会“航运保险产品注册管理平台”注册的条款，是为注册制。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审批制</w:t>
            </w:r>
            <w:r>
              <w:rPr>
                <w:rFonts w:hint="eastAsia" w:ascii="宋体" w:hAnsi="宋体" w:cs="宋体"/>
                <w:color w:val="000000"/>
                <w:kern w:val="0"/>
                <w:szCs w:val="21"/>
              </w:rPr>
              <w:br w:type="textWrapping"/>
            </w:r>
            <w:r>
              <w:rPr>
                <w:rFonts w:hint="eastAsia" w:ascii="宋体" w:hAnsi="宋体" w:cs="宋体"/>
                <w:color w:val="000000"/>
                <w:kern w:val="0"/>
                <w:szCs w:val="21"/>
              </w:rPr>
              <w:t>备案制</w:t>
            </w:r>
            <w:r>
              <w:rPr>
                <w:rFonts w:hint="eastAsia" w:ascii="宋体" w:hAnsi="宋体" w:cs="宋体"/>
                <w:color w:val="000000"/>
                <w:kern w:val="0"/>
                <w:szCs w:val="21"/>
              </w:rPr>
              <w:br w:type="textWrapping"/>
            </w:r>
            <w:r>
              <w:rPr>
                <w:rFonts w:hint="eastAsia" w:ascii="宋体" w:hAnsi="宋体" w:cs="宋体"/>
                <w:color w:val="000000"/>
                <w:kern w:val="0"/>
                <w:szCs w:val="21"/>
              </w:rPr>
              <w:t>注册制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条款注册平台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TKZCPT</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条款报送类型为注册制时，必填。条款注册平台是根据保险监管部门要求，相关主体提供给公司进行保险条款注册的系统平台，即中国保险行业协会“财产保险公司备案产品自主注册平台”，和上海航运保险协会“航运保险产品注册管理平台”。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财产保险公司备案产品自主注册平台</w:t>
            </w:r>
            <w:r>
              <w:rPr>
                <w:rFonts w:hint="eastAsia" w:ascii="宋体" w:hAnsi="宋体" w:cs="宋体"/>
                <w:color w:val="000000"/>
                <w:kern w:val="0"/>
                <w:szCs w:val="21"/>
              </w:rPr>
              <w:br w:type="textWrapping"/>
            </w:r>
            <w:r>
              <w:rPr>
                <w:rFonts w:hint="eastAsia" w:ascii="宋体" w:hAnsi="宋体" w:cs="宋体"/>
                <w:color w:val="000000"/>
                <w:kern w:val="0"/>
                <w:szCs w:val="21"/>
              </w:rPr>
              <w:t>航运保险产品注册管理平台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条款注册编号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TKZCBH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条款报送类型为注册制时，必填。条款注册号为公司通过中国保险行业协会“财产保险公司备案产品自主注册平台”注册后生成的注册号，或通过上海航运保险协会“航运保险产品注册管理平台”注册后生成的注册号。例如：H00001730922016120902821、81BR2020000120044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条款备案号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TKBAH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条款报送类型为审批制时，必填。条款报送类型为审批制或备案制时，条款备案号为公司报送银行保险业监督管理机构审批的审批号，或报送备案的备案号。例如：“人保财险〔2016〕***险001号”“(京) 地(平安财险)(备-养殖业保险)【2016】(主) 001号”。条款报送类型为备案制时，待备案通过后，须补填条款备案号。条款报送类型为注册制，且是通过中国保险行业协会“财产保险公司备案产品自主注册平台”注册时，保险行业协定期将自主注册平台已注册产品材料传送至银保监会保险产品电子化报备和管理信息系统，并由该系统完成后续备案及发放备案号等流程，保险公司收到备案号后须补填条款备案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又称险种名称，是保险公司在银行保险业监督管理机构报备的条款的中文全称。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险类</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条款所属的险种分类。其中，险类是指按照保险标的、保险对象或主要保险责任对保险产品进行的分类，按最细粒度（有四级分类上报一至四级分类）上报，对应《业务代码表》中的“险类”，填报中文描述。例如：保证保险-融资性保证保险-个人融资性保证保险-消费类贷（借）款保证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农险产品类型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NXCPLX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照农业保险经营经验及发展趋势，对产品进行的初步分类，险类为农险时，必填。按最细粒度（有二级分类上报一至二级分类）上报，对应《业务代码表》中的“农险产品类型”，填报中文描述。例如：成本保险-直接物化成本保险（基本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财产险产品类型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CCXCPLX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本条款所属的保险产品的类型，按照财产险条款可以给投保人提供的服务内容进行划分，填报中文描述。包括：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普通型</w:t>
            </w:r>
            <w:r>
              <w:rPr>
                <w:rFonts w:hint="eastAsia" w:ascii="宋体" w:hAnsi="宋体" w:cs="宋体"/>
                <w:color w:val="000000"/>
                <w:kern w:val="0"/>
                <w:szCs w:val="21"/>
              </w:rPr>
              <w:br w:type="textWrapping"/>
            </w:r>
            <w:r>
              <w:rPr>
                <w:rFonts w:hint="eastAsia" w:ascii="宋体" w:hAnsi="宋体" w:cs="宋体"/>
                <w:color w:val="000000"/>
                <w:kern w:val="0"/>
                <w:szCs w:val="21"/>
              </w:rPr>
              <w:t>投资型</w:t>
            </w:r>
            <w:r>
              <w:rPr>
                <w:rFonts w:hint="eastAsia" w:ascii="宋体" w:hAnsi="宋体" w:cs="宋体"/>
                <w:color w:val="000000"/>
                <w:kern w:val="0"/>
                <w:szCs w:val="21"/>
              </w:rPr>
              <w:br w:type="textWrapping"/>
            </w:r>
            <w:r>
              <w:rPr>
                <w:rFonts w:hint="eastAsia" w:ascii="宋体" w:hAnsi="宋体" w:cs="宋体"/>
                <w:color w:val="000000"/>
                <w:kern w:val="0"/>
                <w:szCs w:val="21"/>
              </w:rPr>
              <w:t>其他类型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条款适用区域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TKSYQY</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本条款适用的地域范围。当条款适用于多个区域时，可记录多个，但应以“；”分隔，对应《业务代码表》中的“县及县以上行政区划”，填报中文描述。例如：北京市东城区；河北省石家庄市长安区。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主附险性质</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ZFXXZ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用于标识该险种是主险或附加险。应与向银行保险业监督管理机构报备的本条款的主附险类型保持一致，填报中文描述。包括：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主险</w:t>
            </w:r>
            <w:r>
              <w:rPr>
                <w:rFonts w:hint="eastAsia" w:ascii="宋体" w:hAnsi="宋体" w:cs="宋体"/>
                <w:color w:val="000000"/>
                <w:kern w:val="0"/>
                <w:szCs w:val="21"/>
              </w:rPr>
              <w:br w:type="textWrapping"/>
            </w:r>
            <w:r>
              <w:rPr>
                <w:rFonts w:hint="eastAsia" w:ascii="宋体" w:hAnsi="宋体" w:cs="宋体"/>
                <w:color w:val="000000"/>
                <w:kern w:val="0"/>
                <w:szCs w:val="21"/>
              </w:rPr>
              <w:t>附加险</w:t>
            </w:r>
            <w:r>
              <w:rPr>
                <w:rFonts w:hint="eastAsia" w:ascii="宋体" w:hAnsi="宋体" w:cs="宋体"/>
                <w:color w:val="000000"/>
                <w:kern w:val="0"/>
                <w:szCs w:val="21"/>
              </w:rPr>
              <w:br w:type="textWrapping"/>
            </w:r>
            <w:r>
              <w:rPr>
                <w:rFonts w:hint="eastAsia" w:ascii="宋体" w:hAnsi="宋体" w:cs="宋体"/>
                <w:color w:val="000000"/>
                <w:kern w:val="0"/>
                <w:szCs w:val="21"/>
              </w:rPr>
              <w:t>不区分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费率下限</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FLXX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费率下限是指保险费率范围区间的最低值。其中保险费率是应缴纳保险费与保险金额的比率，是保险人按单位保险金额向投保人收取保险费的标准。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费率上限</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FLSX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保险费率范围区间的最高值。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涉税标志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SSBZ1</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本条款是否涉及国家税收政策。比如，个人税优健康险，通过计算个税前扣除相关保险费用的方式来鼓励投保，其相关条款应为涉税条款。填报中文描述：是，否。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政策性保险标志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ZCXBXBZ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本条款是否属于政策性保险产品。其中，政策性保险是指政府为了某种政策目的，运用商业保险的原理开办，并给于一定扶持政策的保险。如：税优健康险等。填报中文描述：是，否。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政府保费补贴比例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ZFBFBTBL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政策性保险标志为“是”时，必填。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涉农标志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SNBZ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条款是否涉及农业优惠政策，包括涉及农用机械、农用设备、农用设施、农房等农业生产生活资料，以及农产品储藏和运输、农产品初级加工、农业信贷、农产品销售等活动的财产保险条款。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备案起售日期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BAQSRQ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在银行保险业监督管理机构报备的条款的起售日期。适用审批制的条款，备案起售时间为条款审批通过的时间；适用备案制的条款，为发起备案申请的时间；适用注册制的条款，为在平台注册成功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备案停售日期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BATSRQ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保险公司在银行保险业监督管理机构报备的条款的停售日期。适用注册制的条款，备案停售时间为平台记录的停售时间。非停售条款默认值为99991231。</w:t>
            </w:r>
          </w:p>
        </w:tc>
      </w:tr>
    </w:tbl>
    <w:p>
      <w:pPr>
        <w:pStyle w:val="44"/>
        <w:spacing w:line="560" w:lineRule="exact"/>
      </w:pPr>
    </w:p>
    <w:p>
      <w:pPr>
        <w:pStyle w:val="6"/>
        <w:numPr>
          <w:ilvl w:val="0"/>
          <w:numId w:val="4"/>
        </w:numPr>
        <w:ind w:firstLine="600"/>
      </w:pPr>
      <w:r>
        <w:rPr>
          <w:rFonts w:hint="eastAsia"/>
        </w:rPr>
        <w:t>责任定义表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ZRDYB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责任定义表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0403</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本表报送财产保险公司条款的责任信息。其中，保险责任是指保险人按照合同约定，对于可能发生的事故因其发生所造成的财产损失，或人员伤亡，及合同约定的其他赔偿或者给付保险金的责任。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保险公司为条款分配的唯一管理编号。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责任编号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ZRBH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在保险条款载明的各类保险事故发生时，保险人应承担的赔偿责任的编号。保险公司为条款下的责任分配的唯一编号。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责任中文描述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ZRZWMS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责任的中文描述信息。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计算保额标志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JSBEBZ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标识该责任是否参与保额计算。填报中文描述：是，否。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关联不计免赔标志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GLBJMPBZ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否为不计免赔责任。其中，不计免赔指经特别约定，保险事故发生后，按照对应投保的主险条款规定的免赔率计算的、应当由被保险人自行承担的免赔金额部分，也由保险公司在责任限额内负责赔偿。填报中文描述：是，否。</w:t>
            </w:r>
          </w:p>
        </w:tc>
      </w:tr>
    </w:tbl>
    <w:p>
      <w:pPr>
        <w:pStyle w:val="44"/>
        <w:spacing w:line="560" w:lineRule="exact"/>
      </w:pPr>
    </w:p>
    <w:p>
      <w:pPr>
        <w:pStyle w:val="6"/>
        <w:numPr>
          <w:ilvl w:val="0"/>
          <w:numId w:val="4"/>
        </w:numPr>
        <w:ind w:firstLine="600"/>
      </w:pPr>
      <w:r>
        <w:rPr>
          <w:rFonts w:hint="eastAsia"/>
        </w:rPr>
        <w:t>主附险条款关系表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ZFXTKGXB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主附险条款关系表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0404</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本表报送财产保险公司主险条款与附加险条款的关联关系，附加险条款可以依附主险条款销售的，在该表报送。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主险条款编号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ZXTKBH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保险公司为主险条款分配的唯一管理编号。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附加险条款编号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FJXTKBH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保险公司为附加险条款分配的唯一管理编号。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主险条款名称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ZXTKMC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又称险种名称，是保险公司在银行保险业监督管理机构报备的主险条款的中文全称。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附加险条款名称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FJXTKMC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又称险种名称，是保险公司在银行保险业监督管理机构报备的附加险条款的中文全称。</w:t>
            </w:r>
          </w:p>
        </w:tc>
      </w:tr>
    </w:tbl>
    <w:p>
      <w:pPr>
        <w:pStyle w:val="44"/>
        <w:spacing w:line="560" w:lineRule="exact"/>
      </w:pPr>
    </w:p>
    <w:p>
      <w:pPr>
        <w:pStyle w:val="4"/>
      </w:pPr>
      <w:bookmarkStart w:id="45" w:name="_Toc25173"/>
      <w:bookmarkStart w:id="46" w:name="_Toc148485581"/>
      <w:r>
        <w:rPr>
          <w:rFonts w:hint="eastAsia"/>
        </w:rPr>
        <w:t>保单基础信息</w:t>
      </w:r>
      <w:bookmarkEnd w:id="45"/>
      <w:bookmarkEnd w:id="46"/>
    </w:p>
    <w:p>
      <w:pPr>
        <w:pStyle w:val="51"/>
        <w:numPr>
          <w:ilvl w:val="0"/>
          <w:numId w:val="10"/>
        </w:numPr>
      </w:pPr>
      <w:r>
        <w:rPr>
          <w:rFonts w:hint="eastAsia"/>
        </w:rPr>
        <w:t>保单基本信息表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1530"/>
        <w:gridCol w:w="824"/>
        <w:gridCol w:w="1311"/>
        <w:gridCol w:w="660"/>
        <w:gridCol w:w="2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29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53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783"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BDJBXXB</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保单基本信息表</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0501</w:t>
            </w:r>
          </w:p>
        </w:tc>
        <w:tc>
          <w:tcPr>
            <w:tcW w:w="4783"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本表报送财产保险公司保单的基本信息。投诉或回访日期在集中采集周期（</w:t>
            </w:r>
            <w:r>
              <w:rPr>
                <w:rFonts w:ascii="宋体" w:hAnsi="宋体" w:cs="宋体"/>
                <w:color w:val="000000"/>
                <w:kern w:val="0"/>
                <w:szCs w:val="21"/>
              </w:rPr>
              <w:t>2017年1月1日至2020年12月31日）期间的保单关联保单基本信息表需要上报。如，某保单的保险止期为2016.12.1，保单回访或投诉发生在2017.2.1，则在上报投诉和回访数据的同时，要上报该保单基础信息。对虚拟保单需合并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29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53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131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6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又称保单号，是保险人在签发保单时按照公司自有编制规则印制在保单凭证上的编号。对于虚拟保单，保单编号中填报虚拟保单号。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虚拟单标志</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XNDBZ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如果是保单编号是虚拟保单号，虚拟单标志为“是”。填报中文描述：是，否。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保单件数</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BDJS</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虚拟保单下小保单的件数，对非虚拟保单，填写1。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险类</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XL</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004001</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产品的险种分类，对应《业务代码表》中的“险类”，填报中文描述。例如：机动车辆保险-机动车商业保险（非强制保险）-机动车商业三者险、机动车商业车损险、企业财产保险、特殊风险财产保险-航空保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保单团个性质</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BDTGXZ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005004</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以投保人是个人还是团体来区分，填报中文描述。包括：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个人</w:t>
            </w:r>
            <w:r>
              <w:rPr>
                <w:rFonts w:hint="eastAsia" w:ascii="宋体" w:hAnsi="宋体" w:cs="宋体"/>
                <w:color w:val="000000"/>
                <w:kern w:val="0"/>
                <w:szCs w:val="21"/>
              </w:rPr>
              <w:br w:type="textWrapping"/>
            </w:r>
            <w:r>
              <w:rPr>
                <w:rFonts w:hint="eastAsia" w:ascii="宋体" w:hAnsi="宋体" w:cs="宋体"/>
                <w:color w:val="000000"/>
                <w:kern w:val="0"/>
                <w:szCs w:val="21"/>
              </w:rPr>
              <w:t>团体</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监管辖区</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JGXQ</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001022</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保单管理机构归属的监管辖区名称，包含31个省和5个计划单列市，对应《业务代码表》中的“监管辖区”，填报中文描述。例如：北京。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司法管辖</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SFGX</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001023</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因保险合同纠纷提起诉讼的地域管辖范围，填报中文描述。包括：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中国境内（港、澳、台除外）</w:t>
            </w:r>
            <w:r>
              <w:rPr>
                <w:rFonts w:hint="eastAsia" w:ascii="宋体" w:hAnsi="宋体" w:cs="宋体"/>
                <w:color w:val="000000"/>
                <w:kern w:val="0"/>
                <w:szCs w:val="21"/>
              </w:rPr>
              <w:br w:type="textWrapping"/>
            </w:r>
            <w:r>
              <w:rPr>
                <w:rFonts w:hint="eastAsia" w:ascii="宋体" w:hAnsi="宋体" w:cs="宋体"/>
                <w:color w:val="000000"/>
                <w:kern w:val="0"/>
                <w:szCs w:val="21"/>
              </w:rPr>
              <w:t xml:space="preserve">中国境内（包含港、澳、台） </w:t>
            </w:r>
            <w:r>
              <w:rPr>
                <w:rFonts w:hint="eastAsia" w:ascii="宋体" w:hAnsi="宋体" w:cs="宋体"/>
                <w:color w:val="000000"/>
                <w:kern w:val="0"/>
                <w:szCs w:val="21"/>
              </w:rPr>
              <w:br w:type="textWrapping"/>
            </w:r>
            <w:r>
              <w:rPr>
                <w:rFonts w:hint="eastAsia" w:ascii="宋体" w:hAnsi="宋体" w:cs="宋体"/>
                <w:color w:val="000000"/>
                <w:kern w:val="0"/>
                <w:szCs w:val="21"/>
              </w:rPr>
              <w:t>世界范围（美、加除外）</w:t>
            </w:r>
            <w:r>
              <w:rPr>
                <w:rFonts w:hint="eastAsia" w:ascii="宋体" w:hAnsi="宋体" w:cs="宋体"/>
                <w:color w:val="000000"/>
                <w:kern w:val="0"/>
                <w:szCs w:val="21"/>
              </w:rPr>
              <w:br w:type="textWrapping"/>
            </w:r>
            <w:r>
              <w:rPr>
                <w:rFonts w:hint="eastAsia" w:ascii="宋体" w:hAnsi="宋体" w:cs="宋体"/>
                <w:color w:val="000000"/>
                <w:kern w:val="0"/>
                <w:szCs w:val="21"/>
              </w:rPr>
              <w:t>世界范围（包含美、加地区）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业务性质</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YWXZ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005007</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描述保单的销售渠道是属于直接业务还是代理业务，填报中文描述。包括：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直接</w:t>
            </w:r>
            <w:r>
              <w:rPr>
                <w:rFonts w:hint="eastAsia" w:ascii="宋体" w:hAnsi="宋体" w:cs="宋体"/>
                <w:color w:val="000000"/>
                <w:kern w:val="0"/>
                <w:szCs w:val="21"/>
              </w:rPr>
              <w:br w:type="textWrapping"/>
            </w:r>
            <w:r>
              <w:rPr>
                <w:rFonts w:hint="eastAsia" w:ascii="宋体" w:hAnsi="宋体" w:cs="宋体"/>
                <w:color w:val="000000"/>
                <w:kern w:val="0"/>
                <w:szCs w:val="21"/>
              </w:rPr>
              <w:t>中介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续保标志</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XBBZ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保险公司依据自身规则判断保险合同属于新保或续保。填报中文描述：是，否。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被续保保单编号</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BXBBDBH</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续保标志为“是”时，必填。被续保保单号用于记录续保保单的上一年保单号。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保单状态</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BDZT</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005003</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保单有效状态情况，填报中文描述。包括：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有效</w:t>
            </w:r>
            <w:r>
              <w:rPr>
                <w:rFonts w:hint="eastAsia" w:ascii="宋体" w:hAnsi="宋体" w:cs="宋体"/>
                <w:color w:val="000000"/>
                <w:kern w:val="0"/>
                <w:szCs w:val="21"/>
              </w:rPr>
              <w:br w:type="textWrapping"/>
            </w:r>
            <w:r>
              <w:rPr>
                <w:rFonts w:hint="eastAsia" w:ascii="宋体" w:hAnsi="宋体" w:cs="宋体"/>
                <w:color w:val="000000"/>
                <w:kern w:val="0"/>
                <w:szCs w:val="21"/>
              </w:rPr>
              <w:t>中止</w:t>
            </w:r>
            <w:r>
              <w:rPr>
                <w:rFonts w:hint="eastAsia" w:ascii="宋体" w:hAnsi="宋体" w:cs="宋体"/>
                <w:color w:val="000000"/>
                <w:kern w:val="0"/>
                <w:szCs w:val="21"/>
              </w:rPr>
              <w:br w:type="textWrapping"/>
            </w:r>
            <w:r>
              <w:rPr>
                <w:rFonts w:hint="eastAsia" w:ascii="宋体" w:hAnsi="宋体" w:cs="宋体"/>
                <w:color w:val="000000"/>
                <w:kern w:val="0"/>
                <w:szCs w:val="21"/>
              </w:rPr>
              <w:t>终止</w:t>
            </w:r>
            <w:r>
              <w:rPr>
                <w:rFonts w:hint="eastAsia" w:ascii="宋体" w:hAnsi="宋体" w:cs="宋体"/>
                <w:color w:val="000000"/>
                <w:kern w:val="0"/>
                <w:szCs w:val="21"/>
              </w:rPr>
              <w:br w:type="textWrapping"/>
            </w:r>
            <w:r>
              <w:rPr>
                <w:rFonts w:hint="eastAsia" w:ascii="宋体" w:hAnsi="宋体" w:cs="宋体"/>
                <w:color w:val="000000"/>
                <w:kern w:val="0"/>
                <w:szCs w:val="21"/>
              </w:rPr>
              <w:t>未生效</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保单终止原因</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BDZZYY</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005008</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保单终止的原因，对应《业务代码表》中的“保单终止原因”，填报中文描述。例如：满期终止、理赔终止、退保等。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核保类型</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HBLX</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005001</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保单的核保审批所对应的类型，填报中文描述。包括：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自动</w:t>
            </w:r>
            <w:r>
              <w:rPr>
                <w:rFonts w:hint="eastAsia" w:ascii="宋体" w:hAnsi="宋体" w:cs="宋体"/>
                <w:color w:val="000000"/>
                <w:kern w:val="0"/>
                <w:szCs w:val="21"/>
              </w:rPr>
              <w:br w:type="textWrapping"/>
            </w:r>
            <w:r>
              <w:rPr>
                <w:rFonts w:hint="eastAsia" w:ascii="宋体" w:hAnsi="宋体" w:cs="宋体"/>
                <w:color w:val="000000"/>
                <w:kern w:val="0"/>
                <w:szCs w:val="21"/>
              </w:rPr>
              <w:t>人工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联共保类型</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LGBLX</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005006</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描述保单之间的联保或共保关系的类型名称，对应《业务代码表》中的“联共保类型”，填报中文描述。例如：主共保、从共保、主联保、主共主联等。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涉农标志</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SNBZ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保单是否涉及农业优惠政策，包括涉及农用机械、农用设备、农用设施、农房等农业生产生活资料，以及农产品储藏和运输、农产品初级加工、农业信贷、农产品销售等活动的财产保险保单。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分保标志</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FBBZ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保单是否进行再保分出。填报中文描述：是，否。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统保标志</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TBBZ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统保标志用于标明本保单是否为统保保单。其中统保保单是指对同一法人在不同地区的财产或责任进行统一承保的保险单。填报中文描述：是，否。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投保单申请日期</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TBDSQRQ</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客户填写投保单的日期。通常是投保单上客户签字日期，如果是电子投保单，则为投保单填写完成后的提交日期。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签单日期</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QDRQ1</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合同签订的日期，即承保日期。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核保通过时间</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HBTGSJ</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指保单核保通过的时间。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保费收费确认时间</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BFSFQRSJ</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分期缴费的，填写首期保费收费确认时间。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保单生成时间</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BDSCSJ</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生成保单数据的时间。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保单起始日期</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BDQSRQ</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保险人承担保险责任的开始时间。起保时间应早于或等于终保日期。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保单终止日期</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BDZZRQ1</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保险人承担保险责任的结束日期。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保单中止日期</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BDZZRQ</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指保单效力暂停的时间。如保单不存在效力中止，该数据项为空；如保单当前或以前存在中止状态，报送保单最近一次的中止日期。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保单效力恢复日期</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BDXLHFRQ</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合同中止后一定时间内，由投保人申请，经保险公司同意，保险合同效力恢复的日期。如保单不存在效力中止，该数据项为空；如保单当前为中止状态，该数据项为空；如保单效力已恢复，填报最近一次的复效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保单满期日期</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BDMQRQ</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满期日期是指保险合同期满日。请注意：此日期须要按照24时报送，例如，对于10年期的保单，如果保单生效日期为XX010101(0时起生效)，那么保单满期日期为XX101231（24时终止），须要报送XX101231，而不能报送XX110101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约定分期交费次数</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YDFQJFCS</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投保时保险公司与投保人约定的分期交付保费的次数。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累计保费</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LJBF</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该保单已经缴纳并核销的保费合计，包含批增保费，不包含批改退费。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交费方式</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JFFS</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006004</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保险合同中约定的，缴纳保费方式，对应《业务代码表》中的“收付款方式”，填报中文描述。例如：现金、银行卡等。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被保险人数量</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BBXRSL</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财产或者人身受保险合同保障，享有保险金请求权的人的数量，单位为人。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又称保额，是指使用保单保额原币币种计量的保险金额或赔偿限额。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保险金额币种</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BXJEBZ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保单上相关金额数据项所对应的币种，对应《业务代码表》中的“币种”，填报字母。例如：CNY、EUR、JRY等。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保险金额人民币金额</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BXJERMBJE</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保单上相关金额数据项根据约定汇率折算成人民币后的金额。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保险费率</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BXFL</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应缴纳保险费与保险金额的比率。出口信用保险业务除外。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基准保费</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JZBF</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根据保险金额和报备的基准费率计算出的保费原币金额。指未剔除需缴纳税收金额的费用。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签单保费</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QDBF</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指含税的签单保费，又称保险费，是指投保人为取得保险保障，按保险合同约定向保险人支付的费用。本实体下的保费是保单条款信息中各分项的“保费”之和。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税额</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SE</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保单保费中保险人需缴纳的税收金额。税额应等于保单条款信息中各分项的“税额”之和。税额只会是人民币。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政府补贴保费金额</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ZFBTBFJE</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投保人投保政策性保险产品所享受的政府保险补贴金额。政府补贴金额=应交费金额*政府补贴比例。政府补贴保费只会是人民币。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保费币种</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BFBZ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保单上相关金额数据项所对应的币种，对应《业务代码表》中的“币种”，填报字母。例如：CNY、EUR、JRY等。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保费人民币金额</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BFRMBJE</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保单上相关金额数据项根据约定汇率折算成人民币后的金额。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管理机构代码</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GLJGDM</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001029</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负责向所属监管辖区银保监局报送数据的机构代码。如果是新成立的机构，其机构代码未包含在《业务代码表》中的“保险分支机构代码”中，则报送银保监会批准的新分支机构代码。对应《业务代码表》中的“保险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管理机构名称</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GLJGMC</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负责向所属监管辖区银保监局报送数据的机构。如果是新成立的机构，其机构未包含在《业务代码表》中的“保险分支机构代码”中，则报送银保监会批准的新分支机构名称。对应《业务代码表》中的“保险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核保机构代码</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HBJGDM</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核保机构代码，保险公司分支机构内部编码。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核保机构名称</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HBJGMC</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核保机构名称，保险公司分支机构内部名称。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承保地区</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CBDQ</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实际出具保单的机构所对应的地区，要求报送到县级行政区划，对应《业务代码表》中的“县及县以上行政区划”，填报中文描述。例如：北京市东城区、天津市和平区、河北省石家庄市长安区等。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争议解决方式</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ZYJJFS</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001024</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描述争议解决方式，填报中文描述。包括：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诉讼</w:t>
            </w:r>
            <w:r>
              <w:rPr>
                <w:rFonts w:hint="eastAsia" w:ascii="宋体" w:hAnsi="宋体" w:cs="宋体"/>
                <w:color w:val="000000"/>
                <w:kern w:val="0"/>
                <w:szCs w:val="21"/>
              </w:rPr>
              <w:br w:type="textWrapping"/>
            </w:r>
            <w:r>
              <w:rPr>
                <w:rFonts w:hint="eastAsia" w:ascii="宋体" w:hAnsi="宋体" w:cs="宋体"/>
                <w:color w:val="000000"/>
                <w:kern w:val="0"/>
                <w:szCs w:val="21"/>
              </w:rPr>
              <w:t>仲裁</w:t>
            </w:r>
            <w:r>
              <w:rPr>
                <w:rFonts w:hint="eastAsia" w:ascii="宋体" w:hAnsi="宋体" w:cs="宋体"/>
                <w:color w:val="000000"/>
                <w:kern w:val="0"/>
                <w:szCs w:val="21"/>
              </w:rPr>
              <w:br w:type="textWrapping"/>
            </w:r>
            <w:r>
              <w:rPr>
                <w:rFonts w:hint="eastAsia" w:ascii="宋体" w:hAnsi="宋体" w:cs="宋体"/>
                <w:color w:val="000000"/>
                <w:kern w:val="0"/>
                <w:szCs w:val="21"/>
              </w:rPr>
              <w:t>协商</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佣金比例</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YJBL</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销售渠道获取的所分配佣金金额占保单保费的比例。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佣金</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YJ</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销售渠道获取的所分配佣金金额，包含佣金增值税。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佣金币种</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YJBZ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保单上相关金额数据项所对应的币种，对应《业务代码表》中的“币种”，填报字母。例如：CNY、EUR、JRY等。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佣金人民币金额</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YJRMBJE</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保单上相关金额数据项根据约定汇率折算成人民币后的金额，包含佣金增值税。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特别约定标志</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TBYDBZ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保单上是否有特别约定。填报中文描述：是，否。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特别约定</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TBYD</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经投保人与保险公司共同约定，附加在一张保单上的，区别于基本条款的特殊协议或条款内容。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经办业务标志</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JBYWBZ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若大病保险、长期护理保险、农业保险为经办业务，填报“是”，个人保单及其他业务填报“否”。填报中文描述：是，否。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经办管理费</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JBGLF</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若经办业务标志为“是”，填报经办管理费。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医保个人账户购买标志</w:t>
            </w:r>
          </w:p>
        </w:tc>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YBGRZHGMBZ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13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是否为医保个人账户购买商业健康险的标志。填报中文描述：是，否。</w:t>
            </w:r>
          </w:p>
        </w:tc>
      </w:tr>
    </w:tbl>
    <w:p>
      <w:pPr>
        <w:pStyle w:val="44"/>
        <w:spacing w:line="560" w:lineRule="exact"/>
      </w:pPr>
    </w:p>
    <w:p>
      <w:pPr>
        <w:pStyle w:val="6"/>
        <w:numPr>
          <w:ilvl w:val="0"/>
          <w:numId w:val="4"/>
        </w:numPr>
        <w:ind w:firstLine="600"/>
      </w:pPr>
      <w:r>
        <w:rPr>
          <w:rFonts w:hint="eastAsia"/>
        </w:rPr>
        <w:t>保单销售人员关联表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BDXSRYGLB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保单销售人员关联表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0502</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本表报送保单与销售人员的关联信息。对于虚拟保单无需报送。投诉或回访日期在</w:t>
            </w:r>
            <w:r>
              <w:rPr>
                <w:rFonts w:ascii="宋体" w:hAnsi="宋体" w:cs="宋体"/>
                <w:color w:val="000000"/>
                <w:kern w:val="0"/>
                <w:szCs w:val="21"/>
              </w:rPr>
              <w:t>2017年1月1日至2020年12月31日期间涉及的保单关联保单销售人员关联表需要上报。对虚拟保单无需报送。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销售渠道类型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XSQDLX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保险机构向客户提供保险产品和服务的途径，对应《业务代码表》中的“销售渠道类型”，填报中文描述。例如：直销业务、代理业务和经纪业务等。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中介机构代码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保险公司为销售保险公司产品的中介机构分配的唯一内部编码。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销售人员编号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XSRYBH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各保险公司核心系统记录的销售人员的编号。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银邮销售人员编号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YYXSRYBH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当销售渠道为银行类金融机构代理业务、邮政代理业务时，填报银邮工作人员代码。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银邮销售人员姓名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YYXSRYXM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当销售渠道为银行类金融机构代理业务、邮政代理业务时，填报银邮工作人员姓名。隐私，财产保险公司变形。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管理机构代码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负责向所属监管辖区银保监局报送数据的机构代码。如果是新成立的机构，其机构代码未包含在《业务代码表》中的“保险分支机构代码”中，则报送银保监会批准的新分支机构代码。对应《业务代码表》中的“保险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管理机构名称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负责向所属监管辖区银保监局报送数据的机构，如果是新成立的机构，其机构未包含在《业务代码表》中的“保险分支机构代码”中，则报送银保监会批准的新分支机构名称。对应《业务代码表》中的“保险分支机构代码”。</w:t>
            </w:r>
          </w:p>
        </w:tc>
      </w:tr>
    </w:tbl>
    <w:p>
      <w:pPr>
        <w:pStyle w:val="44"/>
        <w:spacing w:line="560" w:lineRule="exact"/>
      </w:pPr>
    </w:p>
    <w:p>
      <w:pPr>
        <w:pStyle w:val="6"/>
        <w:numPr>
          <w:ilvl w:val="0"/>
          <w:numId w:val="4"/>
        </w:numPr>
        <w:ind w:firstLine="600"/>
      </w:pPr>
      <w:r>
        <w:rPr>
          <w:rFonts w:hint="eastAsia"/>
        </w:rPr>
        <w:t>保单条款信息表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BDTKXXB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保单条款信息表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0503</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本表报送保单下所有条款信息。对虚拟保单需合并报送。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又称保单号，是保险人在签发保单时按照公司自有编制规则印制在保单凭证上的编号。对于虚拟保单，保单编号中填报虚拟保单号。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保险公司记录保险产品的唯一标识。其中，保险产品是指由保险公司提供给保险市场，能够引起人们注意、购买，从而满足人们减少和转移风险，且必要时能够得到一定经济补偿需要的承诺性组合。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保险公司为条款分配的唯一管理编号。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又称保额，是指保单条款使用保单保额原币币种计量的保险金额或赔偿限额。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基准保费</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根据保单条款的保险金额和报备的基准费率算出的保费原币金额。指未剔除需缴纳税收金额的费用。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签单保费</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QDBF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指保单条款的含税签单保费。本实体下的保费是保单条款责任信息中对应条款的各分项责任的“保费”之和。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税额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保单条款上保费中保险人需缴纳的税收金额。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保险费率</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BXFL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又称费率，是指保单条款责任上应缴纳保险费与保险金额的比率。</w:t>
            </w:r>
          </w:p>
        </w:tc>
      </w:tr>
    </w:tbl>
    <w:p>
      <w:pPr>
        <w:pStyle w:val="44"/>
        <w:spacing w:line="560" w:lineRule="exact"/>
      </w:pPr>
    </w:p>
    <w:p>
      <w:pPr>
        <w:pStyle w:val="6"/>
        <w:numPr>
          <w:ilvl w:val="0"/>
          <w:numId w:val="4"/>
        </w:numPr>
        <w:ind w:firstLine="600"/>
      </w:pPr>
      <w:r>
        <w:rPr>
          <w:rFonts w:hint="eastAsia"/>
        </w:rPr>
        <w:t>保单条款标的信息表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BDTKBDXXB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保单条款标的信息表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0504</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本表报送保单下所有条款和标的数据，通过条款与标的的组合体现二者的关联关系。对虚拟保单需合并报送。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又称保单号，是保险人在签发保单时按照公司自有编制规则印制在保单凭证上的编号。对于虚拟保单，保单编号中填报虚拟保单号。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保险公司记录保险产品的唯一标识。其中，保险产品是指由保险公司提供给保险市场，能够引起人们注意、购买，从而满足人们减少和转移风险，且必要时能够得到一定经济补偿需要的承诺性组合。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保险公司为条款分配的唯一管理编号。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又称险种名称，是保险公司在银行保险业监督管理机构报备的条款的中文全称。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标的项目类别名称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BDXMLBMC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保单标的的分类名称。参照各公司自己的分类。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标的项目名称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BDXMMC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作为保险对象的财产及有关利益的财产险标的的名称。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标的数量</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BDSL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同一标的序号的标的数量。对于没有实物作为保险标的的保单，填写“不适用”。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标的数量单位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BDSLDW</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标的的数量单位名称，对应《业务代码表》中的“数量单位”，填报中文描述。例如：件、箱等。对于没有实物作为保险标的的保单，默认值为“0”。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保险价值</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保险标的具有法律上承认的利益的货币计算表现形式，是保险事故发生时保险人计算保险赔偿金的标准或依据。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保险价值币种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BXJZBZ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相关金额数据项所对应的币种，对应《业务代码表》中的“币种”，填报字母。例如：CNY、EUR、JRY等。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保险价值人民币金额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BXJZRMBJE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相关金额数据项根据约定汇率折算成人民币后的金额。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又称保额，是指保单条款使用保单保额原币币种计量的保险金额或赔偿限额。保险金额=单位保险金额×标的数量。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相关金额数据项所对应的币种，对应《业务代码表》中的“币种”，填报字母。例如：CNY、EUR、JRY等。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保险金额人民币金额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BXJERMBJE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相关金额数据项根据约定汇率折算成人民币后的金额。</w:t>
            </w:r>
          </w:p>
        </w:tc>
      </w:tr>
    </w:tbl>
    <w:p>
      <w:pPr>
        <w:pStyle w:val="44"/>
        <w:spacing w:line="560" w:lineRule="exact"/>
      </w:pPr>
    </w:p>
    <w:p>
      <w:pPr>
        <w:pStyle w:val="6"/>
        <w:numPr>
          <w:ilvl w:val="0"/>
          <w:numId w:val="4"/>
        </w:numPr>
        <w:ind w:firstLine="600"/>
      </w:pPr>
      <w:r>
        <w:rPr>
          <w:rFonts w:hint="eastAsia"/>
        </w:rPr>
        <w:t>保单条款责任信息表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BDTKZRXXB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保单条款责任信息表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0505</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本表报送保单下所有条款以及条款包含的责任。对虚拟保单需合并报送。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又称保单号，是保险人在签发保单时按照公司自有编制规则印制在保单凭证上的编号。对于虚拟保单，保单编号中填报虚拟保单号。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保险公司记录保险产品的唯一标识。其中，保险产品是指由保险公司提供给保险市场，能够引起人们注意、购买，从而满足人们减少和转移风险，且必要时能够得到一定经济补偿需要的承诺性组合。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保险公司为条款分配的唯一管理编号。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责任编号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ZRBH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保单的保险责任编号。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计算保额标志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JSBEBZ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本保单标的责任上的保险金额或赔偿限额是否计入保单上的总保险保额。填报中文描述：是，否。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责任起保时间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ZRQBSJ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保单条款责任上保险人承担赔偿或给付保险金责任的起始时间。如不能拆分到责任，就取保单/条款的起保时间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责任终保时间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ZRZBSJ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保单条款责任上保险人承担赔偿或给付保险金责任的结束时间。如不能拆分到责任，就取保单/条款的终保时间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又称保额，是指保单条款责任上使用保单保额原币币种计量的保险金额或赔偿限额。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相关金额数据项所对应的币种，对应《业务代码表》中的“币种”，填报字母。例如：CNY、EUR、JRY等。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保险金额人民币金额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BXJERMBJE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相关金额数据项根据约定汇率折算成人民币后的金额。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保费</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保单条款责任上的含税保费的原币金额。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保费币种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BFBZ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相关金额数据项所对应的币种，对应《业务代码表》中的“币种”，填报字母。例如：CNY、EUR、JRY等。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保费人民币金额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BFRMBJE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相关金额数据项根据约定汇率折算成人民币后的金额。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保险费率</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BXFL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又称费率，是指保单条款责任上应缴纳保险费与保险金额的比率。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短期费率方式</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DQFLFS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本保单条款责任上的短期费率计算方式，填报中文描述。包括：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年</w:t>
            </w:r>
            <w:r>
              <w:rPr>
                <w:rFonts w:hint="eastAsia" w:ascii="宋体" w:hAnsi="宋体" w:cs="宋体"/>
                <w:color w:val="000000"/>
                <w:kern w:val="0"/>
                <w:szCs w:val="21"/>
              </w:rPr>
              <w:br w:type="textWrapping"/>
            </w:r>
            <w:r>
              <w:rPr>
                <w:rFonts w:hint="eastAsia" w:ascii="宋体" w:hAnsi="宋体" w:cs="宋体"/>
                <w:color w:val="000000"/>
                <w:kern w:val="0"/>
                <w:szCs w:val="21"/>
              </w:rPr>
              <w:t>月</w:t>
            </w:r>
            <w:r>
              <w:rPr>
                <w:rFonts w:hint="eastAsia" w:ascii="宋体" w:hAnsi="宋体" w:cs="宋体"/>
                <w:color w:val="000000"/>
                <w:kern w:val="0"/>
                <w:szCs w:val="21"/>
              </w:rPr>
              <w:br w:type="textWrapping"/>
            </w:r>
            <w:r>
              <w:rPr>
                <w:rFonts w:hint="eastAsia" w:ascii="宋体" w:hAnsi="宋体" w:cs="宋体"/>
                <w:color w:val="000000"/>
                <w:kern w:val="0"/>
                <w:szCs w:val="21"/>
              </w:rPr>
              <w:t>日</w:t>
            </w:r>
          </w:p>
        </w:tc>
      </w:tr>
    </w:tbl>
    <w:p>
      <w:pPr>
        <w:pStyle w:val="44"/>
        <w:spacing w:line="560" w:lineRule="exact"/>
      </w:pPr>
    </w:p>
    <w:p>
      <w:pPr>
        <w:pStyle w:val="6"/>
        <w:numPr>
          <w:ilvl w:val="0"/>
          <w:numId w:val="4"/>
        </w:numPr>
        <w:ind w:firstLine="600"/>
      </w:pPr>
      <w:r>
        <w:rPr>
          <w:rFonts w:hint="eastAsia"/>
        </w:rPr>
        <w:t>联共保信息表</w:t>
      </w:r>
    </w:p>
    <w:tbl>
      <w:tblPr>
        <w:tblStyle w:val="28"/>
        <w:tblW w:w="839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96"/>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LGBXXB</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联共保信息表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0506</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本表报送保单下的联共保信息，一个保单可能对应一个或多个联保或共保方。保单基本信息表中“联共保类型代码”不为“非联非共”时，报送该表信息。投诉或回访日期在</w:t>
            </w:r>
            <w:r>
              <w:rPr>
                <w:rFonts w:ascii="宋体" w:hAnsi="宋体" w:cs="宋体"/>
                <w:color w:val="000000"/>
                <w:kern w:val="0"/>
                <w:szCs w:val="21"/>
              </w:rPr>
              <w:t>2017年1月1日至2020年12月31日期间涉及的保单关联联共保信息表需要上报。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联共保序号</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LGBXH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保单下记录联共保信息的唯一顺序号。一个保单对应一个或多个联共保序号。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主方保单编号</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ZFBDBH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指保险公司与其他保险公司或该保险公司内部各分支机构使用同一保险合同，对同一保险标的、同一保险责任、同一保险期限和同一保险金额进行保险的主承保方的保单编号。不可空。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从方保单编号</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CFBDBH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保险公司与其他保险公司或该保险公司内部各分支机构使用同一保险合同，对同一保险标的、同一保险责任、同一保险期限和同一保险金额进行保险的从承保方的保单编号。主从方都上报，各家只报自己的保单，可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联共保类型</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LGBLX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描述保单之间的联保或共保关系的类型名称，对应《业务代码表》中的“联共保类型”，填报中文描述。例如：主共保、从共保、主联保、主共主联等。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联共保比例</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LGBBL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在参与共保的一单业务中，各保险人所承担的保险金额与总保险金额的比例。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联共保保额</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LGBBE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在参与共保的一单业务中，各保险人所承担的保险金额。各方联共保保额之和应等于保单信息的保险金额。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联共保保额币种</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LGBBEBZ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相关金额数据项所对应的币种，对应《业务代码表》中的“币种”，填报字母。例如：CNY、EUR、JRY等。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联共保保额人民币金额</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LGBBERMBJE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相关金额数据项根据约定汇率折算成人民币后的金额。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联共保保费</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LGBBF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在参与共保的一单业务中，投保人向各保险人缴纳的保费。各方联共保保费之和应等于保单信息的保单保费。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联共保保费币种</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LGBBFBZ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相关金额数据项所对应的币种，对应《业务代码表》中的“币种”，填报字母。例如：CNY、EUR、JRY等。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联共保保费人民币金额</w:t>
            </w:r>
          </w:p>
        </w:tc>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LGBBFRMBJE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相关金额数据项根据约定汇率折算成人民币后的金额。</w:t>
            </w:r>
          </w:p>
        </w:tc>
      </w:tr>
    </w:tbl>
    <w:p>
      <w:pPr>
        <w:pStyle w:val="44"/>
        <w:spacing w:line="560" w:lineRule="exact"/>
      </w:pPr>
    </w:p>
    <w:p>
      <w:pPr>
        <w:pStyle w:val="6"/>
        <w:numPr>
          <w:ilvl w:val="0"/>
          <w:numId w:val="4"/>
        </w:numPr>
        <w:ind w:firstLine="600"/>
      </w:pPr>
      <w:r>
        <w:rPr>
          <w:rFonts w:hint="eastAsia"/>
        </w:rPr>
        <w:t>批改信息表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597"/>
        <w:gridCol w:w="839"/>
        <w:gridCol w:w="715"/>
        <w:gridCol w:w="715"/>
        <w:gridCol w:w="3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2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59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3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66"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PGXXB</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批改信息表</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0507</w:t>
            </w:r>
          </w:p>
        </w:tc>
        <w:tc>
          <w:tcPr>
            <w:tcW w:w="4566"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本表报送保单下所有批改概要信息。虚拟保单根据实际情况报送，保单编号使用虚拟保单编号。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2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59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3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3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批单编号</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PDBH</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又称批单号，是指变更保险合同的批单的编号。其中，批单是保险人在保险单或者其他保险凭证上附贴的证明保险合同变更事项的文件。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又称保单号，是保险人在签发保单时按照公司自有编制规则印制在保单凭证上的编号。对于虚拟保单，保单编号中填报虚拟保单号。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核批方式</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HPFS</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005001</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指为批单审批采用的人工或自动的审核方式，填报中文描述。包括：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自动</w:t>
            </w:r>
            <w:r>
              <w:rPr>
                <w:rFonts w:hint="eastAsia" w:ascii="宋体" w:hAnsi="宋体" w:cs="宋体"/>
                <w:color w:val="000000"/>
                <w:kern w:val="0"/>
                <w:szCs w:val="21"/>
              </w:rPr>
              <w:br w:type="textWrapping"/>
            </w:r>
            <w:r>
              <w:rPr>
                <w:rFonts w:hint="eastAsia" w:ascii="宋体" w:hAnsi="宋体" w:cs="宋体"/>
                <w:color w:val="000000"/>
                <w:kern w:val="0"/>
                <w:szCs w:val="21"/>
              </w:rPr>
              <w:t>人工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批单生效时间</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PDSXSJ</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申请人签署的向保险人提出变更申请的书面文件的生效时间。申请人一般为投保人或被保险人。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批改类型</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PGLX</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005010</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申请人向保险人提出的请求变更保险合同的批改分类，有多个批改类型时以分号分隔，对应《业务代码表》中的“批改类型”，填报中文描述。例如：更改被保险人、更改投保人等。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其他批改类型详情</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QTPGLXXQ</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当批改类型代码为“其他”时，此数据项项不可空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批改申请时间</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PGSQSJ</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发起批改申请的时间。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批改申请人名称</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PGSQRMC</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发起批改申请的人员或组织的名称。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核批通过时间</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HPTGSJ</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保险人审核批改申请并通过的时间。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保险金额变化</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BXJEBH</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批单批增的保险金额，如果批单属于保险金额减少，填写负值。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保险金额币种</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BXJEBZ</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相关金额数据项所对应的币种，对应《业务代码表》中的“币种”，填报字母。例如：CNY、EUR、JRY等。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保险金额变化人民币金额</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BXJEBHRMBJE</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相关金额数据项根据约定汇率折算成人民币后的金额。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保费变化</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BFBH</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批单批增的保费金额，如果批单属于保费减少，填写负值。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保险金额币种</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BXJEBZ</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相关金额数据项所对应的币种，对应《业务代码表》中的“币种”，填报字母。例如：CNY、EUR、JRY等。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保费变化人民币金额</w:t>
            </w:r>
          </w:p>
        </w:tc>
        <w:tc>
          <w:tcPr>
            <w:tcW w:w="15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BFBHRMBJE</w:t>
            </w:r>
          </w:p>
        </w:tc>
        <w:tc>
          <w:tcPr>
            <w:tcW w:w="8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3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相关金额数据项根据约定汇率折算成人民币后的金额。</w:t>
            </w:r>
          </w:p>
        </w:tc>
      </w:tr>
    </w:tbl>
    <w:p>
      <w:pPr>
        <w:pStyle w:val="44"/>
        <w:spacing w:line="560" w:lineRule="exact"/>
      </w:pPr>
    </w:p>
    <w:p>
      <w:pPr>
        <w:pStyle w:val="4"/>
      </w:pPr>
      <w:bookmarkStart w:id="47" w:name="_Toc221162053"/>
      <w:bookmarkStart w:id="48" w:name="_Toc543"/>
      <w:r>
        <w:rPr>
          <w:rFonts w:hint="eastAsia"/>
        </w:rPr>
        <w:t>收付费信息</w:t>
      </w:r>
      <w:bookmarkEnd w:id="47"/>
      <w:bookmarkEnd w:id="48"/>
    </w:p>
    <w:p>
      <w:pPr>
        <w:pStyle w:val="51"/>
        <w:numPr>
          <w:ilvl w:val="0"/>
          <w:numId w:val="11"/>
        </w:numPr>
      </w:pPr>
      <w:r>
        <w:rPr>
          <w:rFonts w:hint="eastAsia"/>
        </w:rPr>
        <w:t>收费明细表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SFMXB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收费明细表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0601</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本表报送保单下所有实际发生财务收费交易的全量数据。对虚拟保单需合并报送。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收费流水号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SFLSH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收费的唯一标识，按照保险公司系统内部规则编号。对虚拟保单需报送虚拟流水号，按照虚拟保单和单证编号进行合并报送，其中单证编号对于承保环节报送虚拟保单，对于批改/理赔环节报送实际批单/赔案。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完成收费的保险公司在保险业监督管理机构分配的机构编码。如果是新成立的机构，其机构未包含在《业务代码表》中的“保险分支机构代码”中，则报送银保监会批准的新分支机构代码。对应《业务代码表》中的“保险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又称保单号，是保险人在签发保单时按照公司自有编制规则印制在保单凭证上的编号。对虚拟保单需报送虚拟保单号。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保费期次</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BFQC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适用于分期缴费的保险合同，指保险合同中约定缴费的期次，单位为次。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单证编号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DZBH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各类单证的编号，如果是承保相关环节，对应报送保单号，若是批改环节，对应报送批单号，若是理赔环节，对应报送赔案号。对虚拟保单，承保环节报送虚拟保单号，对于批改/理赔环节报送实际批单号/赔案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单证类型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DZLX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006001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各业务阶段中生成的单证的类型，填报中文描述。包括：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投保</w:t>
            </w:r>
            <w:r>
              <w:rPr>
                <w:rFonts w:hint="eastAsia" w:ascii="宋体" w:hAnsi="宋体" w:cs="宋体"/>
                <w:color w:val="000000"/>
                <w:kern w:val="0"/>
                <w:szCs w:val="21"/>
              </w:rPr>
              <w:br w:type="textWrapping"/>
            </w:r>
            <w:r>
              <w:rPr>
                <w:rFonts w:hint="eastAsia" w:ascii="宋体" w:hAnsi="宋体" w:cs="宋体"/>
                <w:color w:val="000000"/>
                <w:kern w:val="0"/>
                <w:szCs w:val="21"/>
              </w:rPr>
              <w:t>承保</w:t>
            </w:r>
            <w:r>
              <w:rPr>
                <w:rFonts w:hint="eastAsia" w:ascii="宋体" w:hAnsi="宋体" w:cs="宋体"/>
                <w:color w:val="000000"/>
                <w:kern w:val="0"/>
                <w:szCs w:val="21"/>
              </w:rPr>
              <w:br w:type="textWrapping"/>
            </w:r>
            <w:r>
              <w:rPr>
                <w:rFonts w:hint="eastAsia" w:ascii="宋体" w:hAnsi="宋体" w:cs="宋体"/>
                <w:color w:val="000000"/>
                <w:kern w:val="0"/>
                <w:szCs w:val="21"/>
              </w:rPr>
              <w:t>批改</w:t>
            </w:r>
            <w:r>
              <w:rPr>
                <w:rFonts w:hint="eastAsia" w:ascii="宋体" w:hAnsi="宋体" w:cs="宋体"/>
                <w:color w:val="000000"/>
                <w:kern w:val="0"/>
                <w:szCs w:val="21"/>
              </w:rPr>
              <w:br w:type="textWrapping"/>
            </w:r>
            <w:r>
              <w:rPr>
                <w:rFonts w:hint="eastAsia" w:ascii="宋体" w:hAnsi="宋体" w:cs="宋体"/>
                <w:color w:val="000000"/>
                <w:kern w:val="0"/>
                <w:szCs w:val="21"/>
              </w:rPr>
              <w:t>理赔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收费金额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SFJE1</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本次收费实际收取的总金额。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收付款方式</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SFKFS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006004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保险合同中约定的，缴纳保费方式，对应《业务代码表》中的“收付款方式”，填报中文描述。例如：现金、银行卡等。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收费类型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SFLX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006002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收费类型对应的名称，对应《业务代码表》中的“收费类型”，填报中文描述。例如：签单加保确认保费。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付费流水上金额类信息所对应的货币。国际上表示货币和资金的名称，对应《业务代码表》中的“币种”，填报字母。例如：CNY、EUR、JRY等。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到账时间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DZSJ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本次收费的费用到账时间，指该笔收款记录在银行资金到银行账号的时间或现金收取时间。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核销日期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HXRQ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核销日期指该笔收款对应到业务上某笔业务收入的确认日期。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开户银行名称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KHYHMC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若通过银行进行转账，填报对应付款人缴费账户开户银行的名称。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若通过银行进行转账，填报对应付款人缴费账户的银行账号。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银行账户名称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若通过银行进行转账，填报对应付款人缴费账户的银行账户名称。隐私，财产保险公司变形。</w:t>
            </w:r>
          </w:p>
        </w:tc>
      </w:tr>
    </w:tbl>
    <w:p>
      <w:pPr>
        <w:pStyle w:val="44"/>
        <w:spacing w:line="560" w:lineRule="exact"/>
        <w:rPr>
          <w:rFonts w:ascii="Calibri" w:hAnsi="Calibri"/>
          <w:szCs w:val="22"/>
        </w:rPr>
      </w:pPr>
    </w:p>
    <w:p>
      <w:pPr>
        <w:pStyle w:val="6"/>
        <w:numPr>
          <w:ilvl w:val="0"/>
          <w:numId w:val="4"/>
        </w:numPr>
        <w:ind w:firstLine="600"/>
      </w:pPr>
      <w:r>
        <w:rPr>
          <w:rFonts w:hint="eastAsia"/>
        </w:rPr>
        <w:t>付费明细表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FFMXB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付费明细表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0602</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本表报送保单下所有实际发生财务付费交易的全量数据。对虚拟保单需合并报送。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付费流水号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FFLSH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付费的唯一标识，按照保险公司系统内部规则编号。对虚拟保单需报送虚拟流水号，按照虚拟保单和单证编号进行合并报送，其中单证编号对于承保环节报送虚拟保单，对于批改/理赔环节报送实际批单/赔案。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在银行保险业监督管理机构分配的机构编码。如果是新成立的机构，其机构未包含在《业务代码表》中的“保险分支机构代码”中，则报送银保监会批准的新分支机构代码。对应《业务代码表》中的“保险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又称保单号，是保险人在签发保单时按照公司自有编制规则印制在保单凭证上的编号。对虚拟保单需报送虚拟保单号。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保费期次</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BFQC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适用于分期缴费的保险合同，指保险合同中约定缴费的期次，单位为次。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单证编号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DZBH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各类单证的编号，如果是承保相关环节，对应报送保单号，若是批改环节，对应报送批单号，若是理赔环节，对应报送赔案号。对虚拟保单，承保环节报送虚拟保单号，对于批改/理赔环节报送实际批单号/赔案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单证类型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DZLX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006001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各业务阶段中生成的单证的类型，填报中文描述。包括：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投保</w:t>
            </w:r>
            <w:r>
              <w:rPr>
                <w:rFonts w:hint="eastAsia" w:ascii="宋体" w:hAnsi="宋体" w:cs="宋体"/>
                <w:color w:val="000000"/>
                <w:kern w:val="0"/>
                <w:szCs w:val="21"/>
              </w:rPr>
              <w:br w:type="textWrapping"/>
            </w:r>
            <w:r>
              <w:rPr>
                <w:rFonts w:hint="eastAsia" w:ascii="宋体" w:hAnsi="宋体" w:cs="宋体"/>
                <w:color w:val="000000"/>
                <w:kern w:val="0"/>
                <w:szCs w:val="21"/>
              </w:rPr>
              <w:t>承保</w:t>
            </w:r>
            <w:r>
              <w:rPr>
                <w:rFonts w:hint="eastAsia" w:ascii="宋体" w:hAnsi="宋体" w:cs="宋体"/>
                <w:color w:val="000000"/>
                <w:kern w:val="0"/>
                <w:szCs w:val="21"/>
              </w:rPr>
              <w:br w:type="textWrapping"/>
            </w:r>
            <w:r>
              <w:rPr>
                <w:rFonts w:hint="eastAsia" w:ascii="宋体" w:hAnsi="宋体" w:cs="宋体"/>
                <w:color w:val="000000"/>
                <w:kern w:val="0"/>
                <w:szCs w:val="21"/>
              </w:rPr>
              <w:t>批改</w:t>
            </w:r>
            <w:r>
              <w:rPr>
                <w:rFonts w:hint="eastAsia" w:ascii="宋体" w:hAnsi="宋体" w:cs="宋体"/>
                <w:color w:val="000000"/>
                <w:kern w:val="0"/>
                <w:szCs w:val="21"/>
              </w:rPr>
              <w:br w:type="textWrapping"/>
            </w:r>
            <w:r>
              <w:rPr>
                <w:rFonts w:hint="eastAsia" w:ascii="宋体" w:hAnsi="宋体" w:cs="宋体"/>
                <w:color w:val="000000"/>
                <w:kern w:val="0"/>
                <w:szCs w:val="21"/>
              </w:rPr>
              <w:t>理赔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付费类型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FFLX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006003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对本次付费实际支付的费用类型，对应《业务代码表》中的“付费类型”，填报中文描述。例如：支直接赔款、支手续费等。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付费方式</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FFFS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006004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保险合同中约定的，缴纳保费方式，对应《业务代码表》中的“收付款方式”，填报中文描述。例如：现金、银行卡等。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收费流水上金额类信息所对应的货币。国际上表示货币和资金的名称，对应《业务代码表》中的“币种”，填报字母。例如：CNY、EUR、JRY等。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实付金额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SFJE2</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本次付费的实际支付的总金额。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付费时间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FFSJ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本次付费，保险公司实际付费的时间。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开户银行名称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KHYHMC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若通过银行进行转账，填报对应领款人收款账户开户银行的名称。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若通过银行进行转账，填报对应领款人收款账户的银行账号。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银行账户名称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若通过银行进行转账，填报对应领款人收款账户的银行账户名称。隐私，财产保险公司变形。</w:t>
            </w:r>
          </w:p>
        </w:tc>
      </w:tr>
    </w:tbl>
    <w:p>
      <w:pPr>
        <w:pStyle w:val="44"/>
        <w:spacing w:line="560" w:lineRule="exact"/>
        <w:rPr>
          <w:szCs w:val="22"/>
        </w:rPr>
      </w:pPr>
    </w:p>
    <w:p>
      <w:pPr>
        <w:pStyle w:val="4"/>
      </w:pPr>
      <w:bookmarkStart w:id="49" w:name="_Toc1923915461"/>
      <w:bookmarkStart w:id="50" w:name="_Toc31467"/>
      <w:r>
        <w:rPr>
          <w:rFonts w:hint="eastAsia"/>
        </w:rPr>
        <w:t>再保险信息</w:t>
      </w:r>
      <w:bookmarkEnd w:id="49"/>
      <w:bookmarkEnd w:id="50"/>
    </w:p>
    <w:p>
      <w:pPr>
        <w:pStyle w:val="51"/>
        <w:numPr>
          <w:ilvl w:val="0"/>
          <w:numId w:val="12"/>
        </w:numPr>
      </w:pPr>
      <w:r>
        <w:rPr>
          <w:rFonts w:hint="eastAsia"/>
        </w:rPr>
        <w:t>分入业务合同信息表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4"/>
        <w:gridCol w:w="1591"/>
        <w:gridCol w:w="836"/>
        <w:gridCol w:w="712"/>
        <w:gridCol w:w="712"/>
        <w:gridCol w:w="3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5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5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3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4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FRYWHTXXB</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分入业务合同信息表</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0701</w:t>
            </w:r>
          </w:p>
        </w:tc>
        <w:tc>
          <w:tcPr>
            <w:tcW w:w="454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本表报送再保险分入业务中的合同相关信息。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5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5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3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2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再保险合同编号</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ZBXHTBH</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再保人基于业务管理需要对再保险合同编制的编号。其中，再保险合同是分出公司与分入公司之间约定再保险权利义务关系的协议。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再保险合同名称</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ZBXHTMC</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再保险合同的名称。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再保险合同类型</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ZBXHTLX</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007001</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再保险合同的分类，填报中文描述。对应《业务代码表》中的“再保险合同类型”，填报中文描述。例如：比例合约-成数、非比例合约-险位超赔等。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再保险合同有效标志</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ZBXHTYXBZ</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再保合同是否有效的状态标志。填报中文描述，包括：是，否。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续转标志</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XZBZ</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再保合同是否为续转合同的标识，填报中文描述：是，否。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被续转合同编号</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BXZHTBH</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再保险合同为续转合同时，在续转之前的父分保合同的编号，当续转标志为“是”时，必填。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签署日期</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QSRQ1</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再保险合同上记录的签署日期。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经纪渠道标志</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JJQDBZ</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该再保险合同是否通过再保险经纪人办理。填报中文描述：是，否。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再保经纪人机构名称</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ZBJJRJGMC</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当再保险合同通过再保险经纪人渠道办理时，填报再保险经纪人机构名称。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纯益手续费率</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CYSXFL</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再保险业务中，约定的计算纯益手续费的比例。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境外标志</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JWBZ</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再保险公司注册所在地是否在境外。填报中文描述：是，否。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分出人再保险系统登记号</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FCRZBXXTDJH</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当再保业务类型为分入业务时，填报分出机构在银保监会再保险登记系统中的登记号码。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分出人名称</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FCRMC</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当再保业务类型为分入业务时，填报分出机构名称。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合同起期</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HTQQ</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再保险业务中，约定的再保险合同起始日期。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合同止期</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HTZQ</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再保险业务中，约定的再保险合同终止日期。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业务年度</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YWND</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001004</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再保合同起保时间所在的年份。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关闭日期</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GBRQ</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分出公司与再保险接受人签订的再保险合同所有账务已结清的日期，对于未结清合同报送默认值“99991231”。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合同结清方式</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HTJQFS</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007003</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再保险分出人与再保险接受人在合同中明确约定合同的结清方式，填报中文描述。包括：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自然终止</w:t>
            </w:r>
            <w:r>
              <w:rPr>
                <w:rFonts w:hint="eastAsia" w:ascii="宋体" w:hAnsi="宋体" w:cs="宋体"/>
                <w:color w:val="000000"/>
                <w:kern w:val="0"/>
                <w:szCs w:val="21"/>
              </w:rPr>
              <w:br w:type="textWrapping"/>
            </w:r>
            <w:r>
              <w:rPr>
                <w:rFonts w:hint="eastAsia" w:ascii="宋体" w:hAnsi="宋体" w:cs="宋体"/>
                <w:color w:val="000000"/>
                <w:kern w:val="0"/>
                <w:szCs w:val="21"/>
              </w:rPr>
              <w:t>结清终止</w:t>
            </w:r>
            <w:r>
              <w:rPr>
                <w:rFonts w:hint="eastAsia" w:ascii="宋体" w:hAnsi="宋体" w:cs="宋体"/>
                <w:color w:val="000000"/>
                <w:kern w:val="0"/>
                <w:szCs w:val="21"/>
              </w:rPr>
              <w:br w:type="textWrapping"/>
            </w:r>
            <w:r>
              <w:rPr>
                <w:rFonts w:hint="eastAsia" w:ascii="宋体" w:hAnsi="宋体" w:cs="宋体"/>
                <w:color w:val="000000"/>
                <w:kern w:val="0"/>
                <w:szCs w:val="21"/>
              </w:rPr>
              <w:t>混合或其他方式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再保险业务中，合同分项约定使用的货币。国际上表示货币和资金的名称，对应《业务代码表》中的“币种”，填报字母。例如：CNY、EUR、JRY等。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分入保额</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FRBE</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再保险分入合同中，由分出公司分给分入公司的保额。再保险合同类型为“比例合约”时，必填。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分入保费</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FRBF</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再保险分入合同中，由分出公司分给分入公司的保费。再保险合同类型为“比例合约”时，必填。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分入比例</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FRBL</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再保险分入合同中，由分入公司承担保险责任的比例。再保险合同类型为“比例合约”时，必填。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分入赔付支出</w:t>
            </w:r>
          </w:p>
        </w:tc>
        <w:tc>
          <w:tcPr>
            <w:tcW w:w="15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FRPFZC</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再保险分入合同中，由分入公司承担的赔款金额。</w:t>
            </w:r>
          </w:p>
        </w:tc>
      </w:tr>
    </w:tbl>
    <w:p>
      <w:pPr>
        <w:pStyle w:val="44"/>
        <w:spacing w:line="560" w:lineRule="exact"/>
        <w:rPr>
          <w:rFonts w:ascii="Calibri" w:hAnsi="Calibri"/>
          <w:szCs w:val="22"/>
        </w:rPr>
      </w:pPr>
    </w:p>
    <w:p>
      <w:pPr>
        <w:pStyle w:val="6"/>
        <w:numPr>
          <w:ilvl w:val="0"/>
          <w:numId w:val="4"/>
        </w:numPr>
        <w:ind w:firstLine="600"/>
      </w:pPr>
      <w:r>
        <w:rPr>
          <w:rFonts w:hint="eastAsia"/>
        </w:rPr>
        <w:t>分出业务合同基本信息表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3"/>
        <w:gridCol w:w="1417"/>
        <w:gridCol w:w="834"/>
        <w:gridCol w:w="711"/>
        <w:gridCol w:w="711"/>
        <w:gridCol w:w="31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1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3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35"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FCYWHTJBXXB</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分出业务合同基本信息表</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0702</w:t>
            </w:r>
          </w:p>
        </w:tc>
        <w:tc>
          <w:tcPr>
            <w:tcW w:w="4535"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本表报送再保险分出业务中的合同基本信息。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1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3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1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再保险合同编号</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ZBXHTBH</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再保人基于业务管理需要对再保险合同编制的编号。其中，再保险合同是分出公司与分入公司之间约定再保险权利义务关系的协议。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再保险合同名称</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ZBXHTMC</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再保险合同的名称。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再保险合同类型</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ZBXHTLX</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007001</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再保险合同的分类，填报中文描述。对应《业务代码表》中的“再保险合同类型”，填报中文描述。例如：比例合约-成数、非比例合约-险位超赔等。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再保险合同有效标志</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ZBXHTYXBZ</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再保合同是否有效的状态标志。填报中文描述，包括：是，否。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续转标志</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XZBZ</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再保合同是否为续转合同的标识，填报中文描述：是，否。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被续转合同编号</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BXZHTBH</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再保险合同为续转合同时，在续转之前的父分保合同的编号，当续转标志为“是”时，必填。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签署日期</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QSRQ1</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再保险合同上记录的签署日期。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首席再保人</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SXZBR</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首席再保险公司名称，与再保险登记系统中名称一致。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经纪渠道标志</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JJQDBZ</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该再保险合同是否通过再保险经纪人办理。填报中文描述：是，否。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再保经纪人机构名称</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ZBJJRJGMC</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当再保险合同通过再保险经纪人渠道办理时，填报再保险经纪人机构名称。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纯益手续费率</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CYSXFL</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再保险业务中，约定的计算纯益手续费的比例。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合同起期</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HTQQ</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再保险业务中，约定的再保险合同起始日期。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合同止期</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HTZQ</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再保险业务中，约定的再保险合同终止日期。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业务年度</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YWND</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001004</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再保合同起保时间所在的年份。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关闭日期</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GBRQ</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分出公司与再保险接受人签订的再保险合同所有账务已结清的日期，对于未结清合同报送默认值“99991231”。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合同结清方式</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HTJQFS</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007003</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再保险分出人与再保险接受人在合同中明确约定合同的结清方式，填报中文描述。包括：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自然终止</w:t>
            </w:r>
            <w:r>
              <w:rPr>
                <w:rFonts w:hint="eastAsia" w:ascii="宋体" w:hAnsi="宋体" w:cs="宋体"/>
                <w:color w:val="000000"/>
                <w:kern w:val="0"/>
                <w:szCs w:val="21"/>
              </w:rPr>
              <w:br w:type="textWrapping"/>
            </w:r>
            <w:r>
              <w:rPr>
                <w:rFonts w:hint="eastAsia" w:ascii="宋体" w:hAnsi="宋体" w:cs="宋体"/>
                <w:color w:val="000000"/>
                <w:kern w:val="0"/>
                <w:szCs w:val="21"/>
              </w:rPr>
              <w:t>结清终止</w:t>
            </w:r>
            <w:r>
              <w:rPr>
                <w:rFonts w:hint="eastAsia" w:ascii="宋体" w:hAnsi="宋体" w:cs="宋体"/>
                <w:color w:val="000000"/>
                <w:kern w:val="0"/>
                <w:szCs w:val="21"/>
              </w:rPr>
              <w:br w:type="textWrapping"/>
            </w:r>
            <w:r>
              <w:rPr>
                <w:rFonts w:hint="eastAsia" w:ascii="宋体" w:hAnsi="宋体" w:cs="宋体"/>
                <w:color w:val="000000"/>
                <w:kern w:val="0"/>
                <w:szCs w:val="21"/>
              </w:rPr>
              <w:t>混合或其他方式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再保险业务中，合同分项约定使用的货币。国际上表示货币和资金的名称，对应《业务代码表》中的“币种”，填报字母。例如：CNY、EUR、JRY等。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最大净自留额</w:t>
            </w:r>
          </w:p>
        </w:tc>
        <w:tc>
          <w:tcPr>
            <w:tcW w:w="14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ZDJZLE</w:t>
            </w:r>
          </w:p>
        </w:tc>
        <w:tc>
          <w:tcPr>
            <w:tcW w:w="8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适用溢额或成数溢额混合分保，分出公司最大净自留额。</w:t>
            </w:r>
          </w:p>
        </w:tc>
      </w:tr>
    </w:tbl>
    <w:p>
      <w:pPr>
        <w:pStyle w:val="44"/>
        <w:spacing w:line="560" w:lineRule="exact"/>
        <w:rPr>
          <w:rFonts w:ascii="Calibri" w:hAnsi="Calibri"/>
          <w:szCs w:val="22"/>
        </w:rPr>
      </w:pPr>
    </w:p>
    <w:p>
      <w:pPr>
        <w:pStyle w:val="6"/>
        <w:numPr>
          <w:ilvl w:val="0"/>
          <w:numId w:val="4"/>
        </w:numPr>
        <w:ind w:firstLine="600"/>
      </w:pPr>
      <w:r>
        <w:rPr>
          <w:rFonts w:hint="eastAsia"/>
        </w:rPr>
        <w:t>分出业务接受人信息表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1536"/>
        <w:gridCol w:w="837"/>
        <w:gridCol w:w="713"/>
        <w:gridCol w:w="713"/>
        <w:gridCol w:w="3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0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53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55"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FCYWJSRXXB</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分出业务接受人信息表</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0703</w:t>
            </w:r>
          </w:p>
        </w:tc>
        <w:tc>
          <w:tcPr>
            <w:tcW w:w="4555"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本表报送再保险分出业务中的合同与再保接收人关系信息。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0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53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2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再保险合同编号</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ZBXHTBH</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再保人基于业务管理需要对再保险合同编制的编号。其中，再保险合同是分出公司与分入公司之间约定再保险权利义务关系的协议。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再保险合同类型</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ZBXHTLX</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007001</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再保险合同的分类，填报中文描述。对应《业务代码表》中的“再保险合同类型”，填报中文描述。例如：比例合约-成数、非比例合约-险位超赔等。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境外标志</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JWBZ</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再保险公司注册所在地是否在境外。填报中文描述：是，否。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接受人再保险系统登记号</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JSRZBXXTDJH</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当再保业务类型为分出业务时，填报再保合同的接受机构在银保监会再保险登记系统中的登记号码。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接受人名称</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JSRMC</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当再保业务类型为分出业务时，填报再保合同的接受机构名称。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险类</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XL</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004001</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保险产品的险种分类，对应《业务代码表》中的“险类”，填报中文描述。例如：机动车辆保险、机动车商业车损险、企业财产保险、特殊风险财产保险等。根据实际情况填写，无需对应至险类最末级。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再保险业务中，合同分项约定使用的货币。国际上表示货币和资金的名称，对应《业务代码表》中的“币种”，填报字母。例如：CNY、EUR、JRY等。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分出保额</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FCBE</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再保险分出合同中，由分出公司分给分入公司的保额。再保险合同类型为“比例合约”时，必填。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分出保费</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FCBF</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再保险分出合同中，由分出公司分给分入公司的保费。再保险合同类型为“比例合约”时，必填。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接受比例</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JSBL</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再保分出业务接受人的接受比例。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摊回赔款</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THPK</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再保险分出公司根据再保险合同约定的条款与条件，从分入公司摊回的赔款金额。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免赔额</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MPE</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适用于事故或险位超赔，分出公司承担的损失金额。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限额</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XE</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适用于事故或险位超赔，分入公司承担的最大赔付金额。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溢额线数</w:t>
            </w:r>
          </w:p>
        </w:tc>
        <w:tc>
          <w:tcPr>
            <w:tcW w:w="15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YEXS</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再保险合同类型为溢额合同时，必填。溢额再保险中，分入公司承担的比例相当于分出公司承担比例的倍数。</w:t>
            </w:r>
          </w:p>
        </w:tc>
      </w:tr>
    </w:tbl>
    <w:p>
      <w:pPr>
        <w:pStyle w:val="44"/>
        <w:spacing w:line="560" w:lineRule="exact"/>
        <w:rPr>
          <w:rFonts w:ascii="Calibri" w:hAnsi="Calibri"/>
          <w:szCs w:val="22"/>
        </w:rPr>
      </w:pPr>
    </w:p>
    <w:p>
      <w:pPr>
        <w:pStyle w:val="6"/>
        <w:numPr>
          <w:ilvl w:val="0"/>
          <w:numId w:val="4"/>
        </w:numPr>
        <w:ind w:firstLine="600"/>
      </w:pPr>
      <w:r>
        <w:rPr>
          <w:rFonts w:hint="eastAsia"/>
        </w:rPr>
        <w:t>再保险保单分出信息表</w:t>
      </w:r>
    </w:p>
    <w:tbl>
      <w:tblPr>
        <w:tblStyle w:val="28"/>
        <w:tblW w:w="8413"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9"/>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ZBXBDFCXXB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再保险保单分出信息表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0704</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本表报送再保险保单维度下的全部分出信息。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分出保单编号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FCBDBH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又称保单号，是再保险分出业务中，原保险人转移出的保险业务的原保险保单编号。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原保单条款编号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YBDTKBH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再保险分出业务中，分出公司记录的原保单编号对应的条款的管理编号。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险类</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保险产品的险种分类，对应《业务代码表》中的“险类”，填报中文描述。例如：机动车辆保险、机动车商业车损险、企业财产保险、特殊风险财产保险等。根据实际情况填写，无需对应至险类最末级。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自留额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ZLE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分出公司根据自身偿付能力对于每一危险单位或一系列危险单位所确定承担的责任限额。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分出比例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FCBL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又称分出份额，是指再保险分出业务中，由分出公司分出给分入公司的份额。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分出保额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FCBE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分出公司对于每一危险单位或一系列危险单位所确定承担的责任限额。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分出保费</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FCBF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再保险分出业务中，分出公司分出给分入公司的含税保费。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不含税分出保费</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BHSFCBF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又称分保费，是指再保险分出业务中，分出公司分出给分入公司的不含税保费。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分出保费税额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FCBFSE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再保险分出业务中，分出公司的分出保费对应的税额。</w:t>
            </w:r>
          </w:p>
        </w:tc>
      </w:tr>
    </w:tbl>
    <w:p>
      <w:pPr>
        <w:pStyle w:val="44"/>
        <w:spacing w:line="560" w:lineRule="exact"/>
        <w:rPr>
          <w:rFonts w:ascii="Calibri" w:hAnsi="Calibri"/>
          <w:szCs w:val="22"/>
        </w:rPr>
      </w:pPr>
    </w:p>
    <w:p>
      <w:pPr>
        <w:pStyle w:val="6"/>
        <w:numPr>
          <w:ilvl w:val="0"/>
          <w:numId w:val="4"/>
        </w:numPr>
        <w:ind w:firstLine="600"/>
      </w:pPr>
      <w:r>
        <w:rPr>
          <w:rFonts w:hint="eastAsia"/>
        </w:rPr>
        <w:t>再保险赔案摊回信息表</w:t>
      </w:r>
    </w:p>
    <w:tbl>
      <w:tblPr>
        <w:tblStyle w:val="28"/>
        <w:tblW w:w="842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ZBXPATHXXB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再保险赔案摊回信息表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0705</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本表报送再保险赔案维度的摊回信息。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分出赔案编号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FCPABH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再保险分出业务中，每笔需摊回的保险业务的原赔案编号。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险类</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保险产品的险种分类，对应《业务代码表》中的“险类”，填报中文描述。例如：机动车辆保险、机动车商业车损险、企业财产保险、特殊风险财产保险等。根据实际情况填写，无需对应至险类最末级。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比例再保分出赔案信息中金额信息所对应的货币。国际上表示货币和资金的名称，对应《业务代码表》中的“币种”，填报字母。例如：CNY、EUR、JRY等。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摊回比例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THBL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根据再保险合同约定的条款与条件，从再保险接受人摊回的赔款金额与该赔案的总赔付金额的比例。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摊回赔款</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THPK</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分出公司根据再保险合同约定的条款与条件，从分入公司摊回的赔款金额。</w:t>
            </w:r>
          </w:p>
        </w:tc>
      </w:tr>
    </w:tbl>
    <w:p>
      <w:pPr>
        <w:pStyle w:val="44"/>
        <w:spacing w:line="560" w:lineRule="exact"/>
        <w:rPr>
          <w:rFonts w:ascii="Calibri" w:hAnsi="Calibri"/>
          <w:szCs w:val="22"/>
        </w:rPr>
      </w:pPr>
    </w:p>
    <w:p>
      <w:pPr>
        <w:pStyle w:val="6"/>
        <w:numPr>
          <w:ilvl w:val="0"/>
          <w:numId w:val="4"/>
        </w:numPr>
        <w:ind w:firstLine="600"/>
      </w:pPr>
      <w:r>
        <w:rPr>
          <w:rFonts w:hint="eastAsia"/>
        </w:rPr>
        <w:t>再保账单信息表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ZBZDXXB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再保账单信息表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0706</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本表报送再保险业务中的账单基本信息。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账单编号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直保公司基于管理需要对账单编制的唯一编码。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临分标志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LFBZ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是否为临时分保。填报中文描述：是，否。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账单起期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ZDQQ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分保账单的账单计算起始日期。非临分业务，此项必填。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账单止期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ZDZQ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分保账单的账单计算截止日期。非临分业务，此项必填。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再保险公司机构代码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ZBXGSJGDM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再保险公司代码，是银行保险监督管理机构分配的机构编号，对应《业务代码表》中的“保险机构代码”。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再保险公司机构名称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ZBXGSJGMC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再保险公司的名称。对应《业务代码表》中的“保险分支机构代码”中的名称。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再保合同编号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ZBHTBH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再保险合同或者附约号码。当该合同为主合同时填写合同号码，当该合同为附约合同时填写附约合同号码。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税金</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账单涉及的税金，如增值税等。没有该项时填写0。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账单余额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ZDYE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按照账单上相关项目计算得出应当结付的金额。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分保费</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分保费是指分出公司根据分保业务计算的应向分入公司分出的保费。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分保佣金</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FBYJ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是指分出公司向分入公司收取的报酬，即分保分出公司支付的佣金中应由分保分入公司承担的份额。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退回分保费</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THFBF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指退保除外的部分保全业务产生的保费退还给分出公司。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退回分保佣金</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THFBYJ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账单期间发生保全业务变更导致的退回分保佣金。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摊回赔款</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THPK</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再保险分出公司根据再保险合同约定的条款与条件，从分入公司摊回的赔款金额。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账单状态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ZDZT</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007005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账单是否有效的状态，填报中文描述。包括：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有效</w:t>
            </w:r>
            <w:r>
              <w:rPr>
                <w:rFonts w:hint="eastAsia" w:ascii="宋体" w:hAnsi="宋体" w:cs="宋体"/>
                <w:color w:val="000000"/>
                <w:kern w:val="0"/>
                <w:szCs w:val="21"/>
              </w:rPr>
              <w:br w:type="textWrapping"/>
            </w:r>
            <w:r>
              <w:rPr>
                <w:rFonts w:hint="eastAsia" w:ascii="宋体" w:hAnsi="宋体" w:cs="宋体"/>
                <w:color w:val="000000"/>
                <w:kern w:val="0"/>
                <w:szCs w:val="21"/>
              </w:rPr>
              <w:t>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结算状态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JSZT</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007006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账单是否结算的状态，填报中文描述。包括：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未结算</w:t>
            </w:r>
            <w:r>
              <w:rPr>
                <w:rFonts w:hint="eastAsia" w:ascii="宋体" w:hAnsi="宋体" w:cs="宋体"/>
                <w:color w:val="000000"/>
                <w:kern w:val="0"/>
                <w:szCs w:val="21"/>
              </w:rPr>
              <w:br w:type="textWrapping"/>
            </w:r>
            <w:r>
              <w:rPr>
                <w:rFonts w:hint="eastAsia" w:ascii="宋体" w:hAnsi="宋体" w:cs="宋体"/>
                <w:color w:val="000000"/>
                <w:kern w:val="0"/>
                <w:szCs w:val="21"/>
              </w:rPr>
              <w:t>已结算</w:t>
            </w:r>
            <w:r>
              <w:rPr>
                <w:rFonts w:hint="eastAsia" w:ascii="宋体" w:hAnsi="宋体" w:cs="宋体"/>
                <w:color w:val="000000"/>
                <w:kern w:val="0"/>
                <w:szCs w:val="21"/>
              </w:rPr>
              <w:br w:type="textWrapping"/>
            </w:r>
            <w:r>
              <w:rPr>
                <w:rFonts w:hint="eastAsia" w:ascii="宋体" w:hAnsi="宋体" w:cs="宋体"/>
                <w:color w:val="000000"/>
                <w:kern w:val="0"/>
                <w:szCs w:val="21"/>
              </w:rPr>
              <w:t>部分结算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结算日期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账单结付时收款或付款的日期。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结算汇率</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JSHL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指结算当日人民币和外币的比价。按公司目前记录情况报送。</w:t>
            </w:r>
          </w:p>
        </w:tc>
      </w:tr>
    </w:tbl>
    <w:p>
      <w:pPr>
        <w:pStyle w:val="44"/>
        <w:spacing w:line="560" w:lineRule="exact"/>
        <w:rPr>
          <w:szCs w:val="22"/>
        </w:rPr>
      </w:pPr>
    </w:p>
    <w:p>
      <w:pPr>
        <w:pStyle w:val="4"/>
      </w:pPr>
      <w:bookmarkStart w:id="51" w:name="_Toc585880148"/>
      <w:bookmarkStart w:id="52" w:name="_Toc31676"/>
      <w:r>
        <w:rPr>
          <w:rFonts w:hint="eastAsia"/>
        </w:rPr>
        <w:t>理赔基础信息</w:t>
      </w:r>
      <w:bookmarkEnd w:id="51"/>
      <w:bookmarkEnd w:id="52"/>
    </w:p>
    <w:p>
      <w:pPr>
        <w:pStyle w:val="51"/>
        <w:numPr>
          <w:ilvl w:val="0"/>
          <w:numId w:val="13"/>
        </w:numPr>
      </w:pPr>
      <w:r>
        <w:rPr>
          <w:rFonts w:hint="eastAsia"/>
        </w:rPr>
        <w:t>报案基本信息表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BAJBXXB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报案基本信息表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0801</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本表报送财产保险公司理赔业务中报案的相关基本信息。虚拟保单根据实际情况报送，保单编号使用虚拟保单编号。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又称保单号，是保险人在签发保单时按照公司自有编制规则印制在保单凭证上的编号。这里指本次报案相关联的保单编号。对于虚拟保单，保单编号中填报虚拟保单号。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报案编号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BABH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又称报案号，是保险公司在接到报案时按一定规则生成的编号。其中报案是指投保人、被保险人或者受益人将保险事故通知保险人的行为。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报案人姓名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BARXM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报案人员姓名。隐私，财产保险公司变形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报案人电话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BARDH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报案人员电话。隐私，暂不取。公司需在本地保留原文数据，并报送“隐私”。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现场类别</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XCLB</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008013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报案的现场类别，填报中文描述。包括：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无现场</w:t>
            </w:r>
            <w:r>
              <w:rPr>
                <w:rFonts w:hint="eastAsia" w:ascii="宋体" w:hAnsi="宋体" w:cs="宋体"/>
                <w:color w:val="000000"/>
                <w:kern w:val="0"/>
                <w:szCs w:val="21"/>
              </w:rPr>
              <w:br w:type="textWrapping"/>
            </w:r>
            <w:r>
              <w:rPr>
                <w:rFonts w:hint="eastAsia" w:ascii="宋体" w:hAnsi="宋体" w:cs="宋体"/>
                <w:color w:val="000000"/>
                <w:kern w:val="0"/>
                <w:szCs w:val="21"/>
              </w:rPr>
              <w:t>第一现场</w:t>
            </w:r>
            <w:r>
              <w:rPr>
                <w:rFonts w:hint="eastAsia" w:ascii="宋体" w:hAnsi="宋体" w:cs="宋体"/>
                <w:color w:val="000000"/>
                <w:kern w:val="0"/>
                <w:szCs w:val="21"/>
              </w:rPr>
              <w:br w:type="textWrapping"/>
            </w:r>
            <w:r>
              <w:rPr>
                <w:rFonts w:hint="eastAsia" w:ascii="宋体" w:hAnsi="宋体" w:cs="宋体"/>
                <w:color w:val="000000"/>
                <w:kern w:val="0"/>
                <w:szCs w:val="21"/>
              </w:rPr>
              <w:t>第二现场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报案时间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BASJ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理赔系统生成理赔报案号的系统时间。参考《银保监办便函〔2019〕929号 关于开展2019年保险公司服务评价工作的通知》定义。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出险时间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理赔事故发生的时间，存在多次出险的，填写初次出险时间。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出险地区境外标志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CXDQJWBZ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出险地区是否在境外。填报中文描述：是，否。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出险地区</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CXDQ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保险事故发生地为中国境内时，填写所在区域的行政区划名称，默认值000000，对应《业务代码表》中的“县及县以上行政区划”，填报中文描述。例如：北京市东城区、天津市和平区、河北省石家庄市长安区等。出险地区境外标志为否时，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出险国家</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CXGJ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当保险事故发生地为中国境外时，填写所在区域的国家或地区，对应《业务代码表》中的“国别”，填报中文描述。例如：中国、英国、美国。出险地区境外标志为是时，必填。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查勘日期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CKRQ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保险期间内查勘事故的日期，或理赔系统中查勘任务提交时间。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查勘机构名称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CKJGMC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查勘机构的名称，保险公司分支机构内部名称。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立案状态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LAZT</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008001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报案处理的结果类型，填报中文描述。包括：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已立案</w:t>
            </w:r>
            <w:r>
              <w:rPr>
                <w:rFonts w:hint="eastAsia" w:ascii="宋体" w:hAnsi="宋体" w:cs="宋体"/>
                <w:color w:val="000000"/>
                <w:kern w:val="0"/>
                <w:szCs w:val="21"/>
              </w:rPr>
              <w:br w:type="textWrapping"/>
            </w:r>
            <w:r>
              <w:rPr>
                <w:rFonts w:hint="eastAsia" w:ascii="宋体" w:hAnsi="宋体" w:cs="宋体"/>
                <w:color w:val="000000"/>
                <w:kern w:val="0"/>
                <w:szCs w:val="21"/>
              </w:rPr>
              <w:t>未立案</w:t>
            </w:r>
            <w:r>
              <w:rPr>
                <w:rFonts w:hint="eastAsia" w:ascii="宋体" w:hAnsi="宋体" w:cs="宋体"/>
                <w:color w:val="000000"/>
                <w:kern w:val="0"/>
                <w:szCs w:val="21"/>
              </w:rPr>
              <w:br w:type="textWrapping"/>
            </w:r>
            <w:r>
              <w:rPr>
                <w:rFonts w:hint="eastAsia" w:ascii="宋体" w:hAnsi="宋体" w:cs="宋体"/>
                <w:color w:val="000000"/>
                <w:kern w:val="0"/>
                <w:szCs w:val="21"/>
              </w:rPr>
              <w:t>不予立案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注销标志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ZXBZ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报案是否已注销。填报中文描述：是，否。</w:t>
            </w:r>
          </w:p>
        </w:tc>
      </w:tr>
    </w:tbl>
    <w:p>
      <w:pPr>
        <w:pStyle w:val="44"/>
        <w:spacing w:line="560" w:lineRule="exact"/>
        <w:rPr>
          <w:rFonts w:ascii="Calibri" w:hAnsi="Calibri"/>
          <w:szCs w:val="22"/>
        </w:rPr>
      </w:pPr>
    </w:p>
    <w:p>
      <w:pPr>
        <w:pStyle w:val="6"/>
        <w:numPr>
          <w:ilvl w:val="0"/>
          <w:numId w:val="4"/>
        </w:numPr>
        <w:ind w:firstLine="600"/>
      </w:pPr>
      <w:r>
        <w:rPr>
          <w:rFonts w:hint="eastAsia"/>
        </w:rPr>
        <w:t>立案基本信息表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LAJBXXB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立案基本信息表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0802</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本表报送财产保险公司理赔业务中立案的相关基本信息。虚拟保单根据实际情况报送，保单编号使用虚拟保单编号。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又称保单号，是保险人在签发保单时按照公司自有编制规则印制在保单凭证上的编号。这里指本次立案相关联的保单编号。对于虚拟保单，保单编号中填报虚拟保单号。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立案编号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LABH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又称立案号，是保险公司在立案时按一定规则生成的编号。其中立案是指保险人受理索赔或给付请求并正式开始核赔的行为。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报案编号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BABH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又称报案号，是保险公司在接到报案时按一定规则生成的编号。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立案时间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LASJ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保险公司人工立案或理赔系统强制立案的系统时间。参照《银保监办便函〔2019〕929号 关于开展2019年保险公司服务评价工作的通知》定义。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出险时间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理赔事故发生的时间，存在多次出险的，填写初次出险时间。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预估损失金额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YGSSJE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又称估损金额，是指保险事故发生时，预先估算可能损失的金额。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重开赔案标志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CKPABZ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重开赔案是指对已经结案或拒赔处理的案件，发现该案需要追加或调整赔付，在满足规定条件的情况下，经过严格的审批流程后，在业务系统中将其恢复成为未决状态，对原有理赔信息进行修改的一项操作。本次赔案是否为重开赔案，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巨灾标志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是否为巨灾形成的案件。填报中文描述：是，否。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巨灾</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007004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导致重大损失的自然灾害、疾病传播、恐怖主义袭击或人为事故等的分类，对应《业务代码表》中的“巨灾”，填报中文描述。例如：台风、火灾、战争及恐怖活动等。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巨灾描述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JZMS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导致重大损失的自然灾害、疾病传播、恐怖主义袭击或人为事故等的分类文本描述。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立案处理类型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LACLLX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008012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立案处理类型，填报中文描述。包括：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正常理算</w:t>
            </w:r>
            <w:r>
              <w:rPr>
                <w:rFonts w:hint="eastAsia" w:ascii="宋体" w:hAnsi="宋体" w:cs="宋体"/>
                <w:color w:val="000000"/>
                <w:kern w:val="0"/>
                <w:szCs w:val="21"/>
              </w:rPr>
              <w:br w:type="textWrapping"/>
            </w:r>
            <w:r>
              <w:rPr>
                <w:rFonts w:hint="eastAsia" w:ascii="宋体" w:hAnsi="宋体" w:cs="宋体"/>
                <w:color w:val="000000"/>
                <w:kern w:val="0"/>
                <w:szCs w:val="21"/>
              </w:rPr>
              <w:t>立案注销</w:t>
            </w:r>
            <w:r>
              <w:rPr>
                <w:rFonts w:hint="eastAsia" w:ascii="宋体" w:hAnsi="宋体" w:cs="宋体"/>
                <w:color w:val="000000"/>
                <w:kern w:val="0"/>
                <w:szCs w:val="21"/>
              </w:rPr>
              <w:br w:type="textWrapping"/>
            </w:r>
            <w:r>
              <w:rPr>
                <w:rFonts w:hint="eastAsia" w:ascii="宋体" w:hAnsi="宋体" w:cs="宋体"/>
                <w:color w:val="000000"/>
                <w:kern w:val="0"/>
                <w:szCs w:val="21"/>
              </w:rPr>
              <w:t>立案注销恢复</w:t>
            </w:r>
            <w:r>
              <w:rPr>
                <w:rFonts w:hint="eastAsia" w:ascii="宋体" w:hAnsi="宋体" w:cs="宋体"/>
                <w:color w:val="000000"/>
                <w:kern w:val="0"/>
                <w:szCs w:val="21"/>
              </w:rPr>
              <w:br w:type="textWrapping"/>
            </w:r>
            <w:r>
              <w:rPr>
                <w:rFonts w:hint="eastAsia" w:ascii="宋体" w:hAnsi="宋体" w:cs="宋体"/>
                <w:color w:val="000000"/>
                <w:kern w:val="0"/>
                <w:szCs w:val="21"/>
              </w:rPr>
              <w:t>零结案</w:t>
            </w:r>
            <w:r>
              <w:rPr>
                <w:rFonts w:hint="eastAsia" w:ascii="宋体" w:hAnsi="宋体" w:cs="宋体"/>
                <w:color w:val="000000"/>
                <w:kern w:val="0"/>
                <w:szCs w:val="21"/>
              </w:rPr>
              <w:br w:type="textWrapping"/>
            </w:r>
            <w:r>
              <w:rPr>
                <w:rFonts w:hint="eastAsia" w:ascii="宋体" w:hAnsi="宋体" w:cs="宋体"/>
                <w:color w:val="000000"/>
                <w:kern w:val="0"/>
                <w:szCs w:val="21"/>
              </w:rPr>
              <w:t>立案拒赔</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bl>
    <w:p>
      <w:pPr>
        <w:pStyle w:val="44"/>
        <w:spacing w:line="560" w:lineRule="exact"/>
        <w:rPr>
          <w:rFonts w:ascii="Calibri" w:hAnsi="Calibri"/>
          <w:szCs w:val="22"/>
        </w:rPr>
      </w:pPr>
    </w:p>
    <w:p>
      <w:pPr>
        <w:pStyle w:val="6"/>
        <w:numPr>
          <w:ilvl w:val="0"/>
          <w:numId w:val="4"/>
        </w:numPr>
        <w:ind w:firstLine="600"/>
      </w:pPr>
      <w:r>
        <w:rPr>
          <w:rFonts w:hint="eastAsia"/>
        </w:rPr>
        <w:t>赔案基本信息表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PAJBXXB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赔案基本信息表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0803</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虚拟保单根据实际情况报送，保单编号使用虚拟保单编号。本表报送财产保险公司理赔业务中赔案的相关基本信息。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又称保单号，是保险人在签发保单时按照公司自有编制规则印制在保单凭证上的编号。这里指本次立案相关联的保单编号。对于虚拟保单，保单编号中填报虚拟保单号。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立案编号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LABH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又称立案号，是保险公司在立案时按一定规则生成的编号。其中立案是指保险人受理索赔或给付请求并正式开始核赔的行为。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报案时间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BASJ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理赔系统生成理赔报案号的系统时间。参考《银保监办便函〔2019〕929号 关于开展2019年保险公司服务评价工作的通知》定义。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立案时间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LASJ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保险公司人工立案或理赔系统强制立案的系统时间。参照《银保监办便函〔2019〕929号 关于开展2019年保险公司服务评价工作的通知》定义。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出险时间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保险事故发生的时间。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出险原因</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CXYY</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008002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财产险出险的原因，对应《业务代码表》中的“出险原因”，填报中文描述。例如：自然灾害-风灾、地质灾害-包装破裂、意外事故-车对车碰撞等。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出险过程描述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CXGCMS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保险公司接收报案时记录的出险过程描述内容。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定损日期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保险期间内定损的日期。存在多次定损的报送统计期内最新一次定损信息。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资料收集日期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ZLSJRQ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保险期间内资料收集结束的日期。如在理算过程中有多次资料收集，填写统计期内最后一次资料收集的日期。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理赔费用对应的货币。国际上表示货币和资金的名称，对应《业务代码表》中的“币种”，填报字母。例如：CNY、EUR、JRY等。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总赔付金额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ZPFJE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赔案下总的赔付金额。总赔付金额=保险责任赔付总金额+直接理赔费用总金额。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总赔付人民币金额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ZPFRMBJE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赔案下总的赔付金额（人民币）。总赔付金额=保险责任赔付总金额+直接理赔费用总金额。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赔付类型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PFLX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008006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保险公司给付保险金的情况类型，填报中文描述。包括：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正常给付</w:t>
            </w:r>
            <w:r>
              <w:rPr>
                <w:rFonts w:hint="eastAsia" w:ascii="宋体" w:hAnsi="宋体" w:cs="宋体"/>
                <w:color w:val="000000"/>
                <w:kern w:val="0"/>
                <w:szCs w:val="21"/>
              </w:rPr>
              <w:br w:type="textWrapping"/>
            </w:r>
            <w:r>
              <w:rPr>
                <w:rFonts w:hint="eastAsia" w:ascii="宋体" w:hAnsi="宋体" w:cs="宋体"/>
                <w:color w:val="000000"/>
                <w:kern w:val="0"/>
                <w:szCs w:val="21"/>
              </w:rPr>
              <w:t>协议</w:t>
            </w:r>
            <w:r>
              <w:rPr>
                <w:rFonts w:hint="eastAsia" w:ascii="宋体" w:hAnsi="宋体" w:cs="宋体"/>
                <w:color w:val="000000"/>
                <w:kern w:val="0"/>
                <w:szCs w:val="21"/>
              </w:rPr>
              <w:br w:type="textWrapping"/>
            </w:r>
            <w:r>
              <w:rPr>
                <w:rFonts w:hint="eastAsia" w:ascii="宋体" w:hAnsi="宋体" w:cs="宋体"/>
                <w:color w:val="000000"/>
                <w:kern w:val="0"/>
                <w:szCs w:val="21"/>
              </w:rPr>
              <w:t>部分</w:t>
            </w:r>
            <w:r>
              <w:rPr>
                <w:rFonts w:hint="eastAsia" w:ascii="宋体" w:hAnsi="宋体" w:cs="宋体"/>
                <w:color w:val="000000"/>
                <w:kern w:val="0"/>
                <w:szCs w:val="21"/>
              </w:rPr>
              <w:br w:type="textWrapping"/>
            </w:r>
            <w:r>
              <w:rPr>
                <w:rFonts w:hint="eastAsia" w:ascii="宋体" w:hAnsi="宋体" w:cs="宋体"/>
                <w:color w:val="000000"/>
                <w:kern w:val="0"/>
                <w:szCs w:val="21"/>
              </w:rPr>
              <w:t>拒赔</w:t>
            </w:r>
            <w:r>
              <w:rPr>
                <w:rFonts w:hint="eastAsia" w:ascii="宋体" w:hAnsi="宋体" w:cs="宋体"/>
                <w:color w:val="000000"/>
                <w:kern w:val="0"/>
                <w:szCs w:val="21"/>
              </w:rPr>
              <w:br w:type="textWrapping"/>
            </w:r>
            <w:r>
              <w:rPr>
                <w:rFonts w:hint="eastAsia" w:ascii="宋体" w:hAnsi="宋体" w:cs="宋体"/>
                <w:color w:val="000000"/>
                <w:kern w:val="0"/>
                <w:szCs w:val="21"/>
              </w:rPr>
              <w:t>通融赔付</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结案标志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JABZ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案件已结标志。填报中文描述：是，否。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结案时间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JASJ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保险人对赔案中应承担的义务和应享有的权利执行完毕的时间。根据《银保监办便函〔2019〕929号 关于开展2019年保险公司服务评价工作的通知》要求，正常结案案件以理赔系统标记结案动作的系统时间为准；零结案案件的结案时间以零结时间为准；拒赔结案案件的结案时间以拒赔时间为准；立案注销案件的结案时间以注销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诉讼案件标志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SSAJBZ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案件是否是诉讼案件。填报中文描述：是，否。其中诉讼案件是指需要通过法院的诉讼程序以解决纠纷的案件。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重开赔案标志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CKPABZ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重开赔案是指对已经结案或拒赔处理的案件，发现该案需要追加或调整赔付，在满足规定条件的情况下，经过严格的审批流程后，在业务系统中将其恢复成为未决状态，对原有理赔信息进行修改的一项操作。本次赔案是否为重开赔案，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核赔日期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HPRQ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最后一次核赔通过的日期。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案件重开时间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AJZKSJ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该赔案最新一次的重开确认时间。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案件重开次数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AJZKCS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该赔案重开累计次数。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追偿案件标志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ZCAJBZ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发生了保险责任范围内的保险事故造成损失后，案件是否为涉及第三方责任的可追偿案件。填报中文描述：是，否。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公估机构名称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GGJGMC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保险公估机构指接受当事人委托，专门从事保险标的或者保险事故评估、勘验、鉴定、估算理算等业务，并按约定收取报酬的机构。经营保险公估业务备案表记载的机构全称。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管理机构代码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负责向所属监管辖区银保监局报送数据的机构代码。如果是新成立的机构，其机构代码未包含在《业务代码表》中的“保险分支机构代码”中，则报送银保监会批准的新分支机构代码。对应《业务代码表》中的“保险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管理机构名称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负责向所属监管辖区银保监局报送数据的机构。如果是新成立的机构，其机构未包含在《业务代码表》中的“保险分支机构代码”中，则报送银保监会批准的新分支机构名称。对应《业务代码表》中的“保险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核赔机构代码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HPJGDM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核赔机构代码，保险公司分支机构内部编码。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核赔机构名称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HPJGMC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核赔机构名称，保险公司分支机构内部名称。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核赔人员工编码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HPRYGBM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最终核赔同意的核赔人的员工编号。</w:t>
            </w:r>
          </w:p>
        </w:tc>
      </w:tr>
    </w:tbl>
    <w:p>
      <w:pPr>
        <w:pStyle w:val="44"/>
        <w:spacing w:line="560" w:lineRule="exact"/>
        <w:rPr>
          <w:rFonts w:ascii="Calibri" w:hAnsi="Calibri"/>
          <w:szCs w:val="22"/>
        </w:rPr>
      </w:pPr>
    </w:p>
    <w:p>
      <w:pPr>
        <w:pStyle w:val="6"/>
        <w:numPr>
          <w:ilvl w:val="0"/>
          <w:numId w:val="4"/>
        </w:numPr>
        <w:ind w:firstLine="600"/>
      </w:pPr>
      <w:r>
        <w:rPr>
          <w:rFonts w:hint="eastAsia"/>
        </w:rPr>
        <w:t>直接理赔费用信息表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ZJLPFYXXB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直接理赔费用信息表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0804</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本表报送财产保险公司理赔过程中发生与某一特定赔案直接相关，能够直接确认到该赔案的费用信息。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理赔费用序号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LPFYXH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同一赔款计算书下，序号从1开始，依次顺序递增。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直接理赔费用类型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ZJLPFYLX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008009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直接理赔费用支出类型，填报中文描述。包括：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公估费</w:t>
            </w:r>
            <w:r>
              <w:rPr>
                <w:rFonts w:hint="eastAsia" w:ascii="宋体" w:hAnsi="宋体" w:cs="宋体"/>
                <w:color w:val="000000"/>
                <w:kern w:val="0"/>
                <w:szCs w:val="21"/>
              </w:rPr>
              <w:br w:type="textWrapping"/>
            </w:r>
            <w:r>
              <w:rPr>
                <w:rFonts w:hint="eastAsia" w:ascii="宋体" w:hAnsi="宋体" w:cs="宋体"/>
                <w:color w:val="000000"/>
                <w:kern w:val="0"/>
                <w:szCs w:val="21"/>
              </w:rPr>
              <w:t>专家费</w:t>
            </w:r>
            <w:r>
              <w:rPr>
                <w:rFonts w:hint="eastAsia" w:ascii="宋体" w:hAnsi="宋体" w:cs="宋体"/>
                <w:color w:val="000000"/>
                <w:kern w:val="0"/>
                <w:szCs w:val="21"/>
              </w:rPr>
              <w:br w:type="textWrapping"/>
            </w:r>
            <w:r>
              <w:rPr>
                <w:rFonts w:hint="eastAsia" w:ascii="宋体" w:hAnsi="宋体" w:cs="宋体"/>
                <w:color w:val="000000"/>
                <w:kern w:val="0"/>
                <w:szCs w:val="21"/>
              </w:rPr>
              <w:t>损失检验费</w:t>
            </w:r>
            <w:r>
              <w:rPr>
                <w:rFonts w:hint="eastAsia" w:ascii="宋体" w:hAnsi="宋体" w:cs="宋体"/>
                <w:color w:val="000000"/>
                <w:kern w:val="0"/>
                <w:szCs w:val="21"/>
              </w:rPr>
              <w:br w:type="textWrapping"/>
            </w:r>
            <w:r>
              <w:rPr>
                <w:rFonts w:hint="eastAsia" w:ascii="宋体" w:hAnsi="宋体" w:cs="宋体"/>
                <w:color w:val="000000"/>
                <w:kern w:val="0"/>
                <w:szCs w:val="21"/>
              </w:rPr>
              <w:t>律师费</w:t>
            </w:r>
            <w:r>
              <w:rPr>
                <w:rFonts w:hint="eastAsia" w:ascii="宋体" w:hAnsi="宋体" w:cs="宋体"/>
                <w:color w:val="000000"/>
                <w:kern w:val="0"/>
                <w:szCs w:val="21"/>
              </w:rPr>
              <w:br w:type="textWrapping"/>
            </w:r>
            <w:r>
              <w:rPr>
                <w:rFonts w:hint="eastAsia" w:ascii="宋体" w:hAnsi="宋体" w:cs="宋体"/>
                <w:color w:val="000000"/>
                <w:kern w:val="0"/>
                <w:szCs w:val="21"/>
              </w:rPr>
              <w:t>诉讼费</w:t>
            </w:r>
            <w:r>
              <w:rPr>
                <w:rFonts w:hint="eastAsia" w:ascii="宋体" w:hAnsi="宋体" w:cs="宋体"/>
                <w:color w:val="000000"/>
                <w:kern w:val="0"/>
                <w:szCs w:val="21"/>
              </w:rPr>
              <w:br w:type="textWrapping"/>
            </w:r>
            <w:r>
              <w:rPr>
                <w:rFonts w:hint="eastAsia" w:ascii="宋体" w:hAnsi="宋体" w:cs="宋体"/>
                <w:color w:val="000000"/>
                <w:kern w:val="0"/>
                <w:szCs w:val="21"/>
              </w:rPr>
              <w:t>差旅费用</w:t>
            </w:r>
            <w:r>
              <w:rPr>
                <w:rFonts w:hint="eastAsia" w:ascii="宋体" w:hAnsi="宋体" w:cs="宋体"/>
                <w:color w:val="000000"/>
                <w:kern w:val="0"/>
                <w:szCs w:val="21"/>
              </w:rPr>
              <w:br w:type="textWrapping"/>
            </w:r>
            <w:r>
              <w:rPr>
                <w:rFonts w:hint="eastAsia" w:ascii="宋体" w:hAnsi="宋体" w:cs="宋体"/>
                <w:color w:val="000000"/>
                <w:kern w:val="0"/>
                <w:szCs w:val="21"/>
              </w:rPr>
              <w:t>其它直接理赔费用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理赔费用对应的货币。国际上表示货币和资金的名称，对应《业务代码表》中的“币种”，填报字母。例如：CNY、EUR、JRY等。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费用</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FY</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直接理赔费用是指保险公司在理赔过程中发生的与某一特定赔案相关的费用支出。这里指直接理赔费用的金额。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费用人民币金额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FYRMBJE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直接理赔费用是指保险公司在理赔过程中发生的与某一特定赔案相关的费用支出。这里指直接理赔费用的金额（人民币）。</w:t>
            </w:r>
          </w:p>
        </w:tc>
      </w:tr>
    </w:tbl>
    <w:p>
      <w:pPr>
        <w:pStyle w:val="44"/>
        <w:spacing w:line="560" w:lineRule="exact"/>
        <w:rPr>
          <w:rFonts w:ascii="Calibri" w:hAnsi="Calibri"/>
          <w:szCs w:val="22"/>
        </w:rPr>
      </w:pPr>
    </w:p>
    <w:p>
      <w:pPr>
        <w:pStyle w:val="6"/>
        <w:numPr>
          <w:ilvl w:val="0"/>
          <w:numId w:val="4"/>
        </w:numPr>
        <w:ind w:firstLine="600"/>
      </w:pPr>
      <w:r>
        <w:rPr>
          <w:rFonts w:hint="eastAsia"/>
        </w:rPr>
        <w:t>追偿信息表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追偿信息表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0805</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赔案信息的扩展实体，描述理赔过程中，追偿环节产生的特殊属性信息。虚拟保单根据实际情况报送，保单编号使用虚拟保单编号。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追偿序号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同一赔案下，序号从1开始，依次顺序递增。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代位追偿案件标志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DWZCAJBZ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人按照保险合同规定，对保险标的全部或部分损失履行经济补偿。如果补偿的全部或部分应由第三者承担，保险人可以代被保险人向第三者实施索赔。保险人的这种权利称为"代位追偿"。代位追偿案件标志是记录本次出险是否执行“代位追偿”程序。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被追偿方类型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BZCFLX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008010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指定被追偿方类型，填报中文描述。包括：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个人</w:t>
            </w:r>
            <w:r>
              <w:rPr>
                <w:rFonts w:hint="eastAsia" w:ascii="宋体" w:hAnsi="宋体" w:cs="宋体"/>
                <w:color w:val="000000"/>
                <w:kern w:val="0"/>
                <w:szCs w:val="21"/>
              </w:rPr>
              <w:br w:type="textWrapping"/>
            </w:r>
            <w:r>
              <w:rPr>
                <w:rFonts w:hint="eastAsia" w:ascii="宋体" w:hAnsi="宋体" w:cs="宋体"/>
                <w:color w:val="000000"/>
                <w:kern w:val="0"/>
                <w:szCs w:val="21"/>
              </w:rPr>
              <w:t>团体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被追偿方名称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BZCFMC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追偿活动中的责任第三方的名称。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被追偿方机构证件类型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BZCFJGZJLX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被追偿为团体时，必填。优先填报统一社会信用代码，对应《业务代码表》中的“机构证件类型”，填报中文描述。例如：统一社会信用代码、组织机构代码证等。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被追偿方个人证件类型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BZCFGRZJLX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被追偿方为自然人时，填写个人证件类型，对应《业务代码表》中的“个人身份证件类型”，填报中文描述。例如：居民身份证、军人身份证件、护照、出生医学证明等。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被追偿方证件号码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BZCFZJHM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被追偿方证件号码。若为自然人证件号码，隐私，财产保险公司变形。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追偿日期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追偿开始的日期。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追回日期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ZHRQ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实际收回追偿金额的日期。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追偿款对应的货币。国际上表示货币和资金的名称，对应《业务代码表》中的“币种”，填报字母。例如：CNY、EUR、JRY等。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追偿金额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人按照保险合同规定，对保险标的全部或部分损失履行经济补偿。如果补偿的全部或部分应由第三者承担，保险人可以代被保险人向第三者实施索赔。保险人的这种权利称为“代位追偿”，与之相关的索赔金额称作追偿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追偿人民币金额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ZCRMBJE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人按照保险合同规定，对保险标的全部或部分损失履行经济补偿（人民币）。如果补偿的全部或部分应由第三者承担，保险人可以代被保险人向第三者实施索赔。保险人的这种权利称为“代位追偿”，与之相关的索赔金额称作追偿金额。</w:t>
            </w:r>
          </w:p>
        </w:tc>
      </w:tr>
    </w:tbl>
    <w:p>
      <w:pPr>
        <w:pStyle w:val="44"/>
        <w:spacing w:line="560" w:lineRule="exact"/>
        <w:rPr>
          <w:szCs w:val="22"/>
        </w:rPr>
      </w:pPr>
    </w:p>
    <w:p>
      <w:pPr>
        <w:pStyle w:val="4"/>
      </w:pPr>
      <w:bookmarkStart w:id="53" w:name="_Toc7324"/>
      <w:bookmarkStart w:id="54" w:name="_Toc675125941"/>
      <w:r>
        <w:rPr>
          <w:rFonts w:hint="eastAsia"/>
        </w:rPr>
        <w:t>服务信息</w:t>
      </w:r>
      <w:bookmarkEnd w:id="53"/>
      <w:bookmarkEnd w:id="54"/>
    </w:p>
    <w:p>
      <w:pPr>
        <w:pStyle w:val="51"/>
        <w:numPr>
          <w:ilvl w:val="0"/>
          <w:numId w:val="14"/>
        </w:numPr>
      </w:pPr>
      <w:r>
        <w:rPr>
          <w:rFonts w:hint="eastAsia"/>
        </w:rPr>
        <w:t>保单投诉信息表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BDTSXXB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保单投诉信息表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0901</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本表报送财产保险公司有投诉信息的保单，所有与已投保业务相关的投诉性信息均需报送，包括监管转办投诉与自投诉。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又称保单号，是保险人在签发保单时按照公司自有编制规则印制在保单凭证上的编号。对于虚拟保单，保单编号中填报虚拟保单号。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投诉顺序号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TSSXH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投诉顺序号指保单范围内投诉的唯一编号。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投诉人姓名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TSRXM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投诉人员姓名。隐私，财产保险公司变形。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投诉类型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TSLX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009001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投诉类型，依据银保监消保函〔2020〕57号《关于落实&lt;银行业保险业消费投诉处理管理办法&gt;有关事项的通知》，填报中文描述。包括：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销售纠纷</w:t>
            </w:r>
            <w:r>
              <w:rPr>
                <w:rFonts w:hint="eastAsia" w:ascii="宋体" w:hAnsi="宋体" w:cs="宋体"/>
                <w:color w:val="000000"/>
                <w:kern w:val="0"/>
                <w:szCs w:val="21"/>
              </w:rPr>
              <w:br w:type="textWrapping"/>
            </w:r>
            <w:r>
              <w:rPr>
                <w:rFonts w:hint="eastAsia" w:ascii="宋体" w:hAnsi="宋体" w:cs="宋体"/>
                <w:color w:val="000000"/>
                <w:kern w:val="0"/>
                <w:szCs w:val="21"/>
              </w:rPr>
              <w:t>承保纠纷</w:t>
            </w:r>
            <w:r>
              <w:rPr>
                <w:rFonts w:hint="eastAsia" w:ascii="宋体" w:hAnsi="宋体" w:cs="宋体"/>
                <w:color w:val="000000"/>
                <w:kern w:val="0"/>
                <w:szCs w:val="21"/>
              </w:rPr>
              <w:br w:type="textWrapping"/>
            </w:r>
            <w:r>
              <w:rPr>
                <w:rFonts w:hint="eastAsia" w:ascii="宋体" w:hAnsi="宋体" w:cs="宋体"/>
                <w:color w:val="000000"/>
                <w:kern w:val="0"/>
                <w:szCs w:val="21"/>
              </w:rPr>
              <w:t>保险合同变更纠纷（保全）</w:t>
            </w:r>
            <w:r>
              <w:rPr>
                <w:rFonts w:hint="eastAsia" w:ascii="宋体" w:hAnsi="宋体" w:cs="宋体"/>
                <w:color w:val="000000"/>
                <w:kern w:val="0"/>
                <w:szCs w:val="21"/>
              </w:rPr>
              <w:br w:type="textWrapping"/>
            </w:r>
            <w:r>
              <w:rPr>
                <w:rFonts w:hint="eastAsia" w:ascii="宋体" w:hAnsi="宋体" w:cs="宋体"/>
                <w:color w:val="000000"/>
                <w:kern w:val="0"/>
                <w:szCs w:val="21"/>
              </w:rPr>
              <w:t>续保服务纠纷</w:t>
            </w:r>
            <w:r>
              <w:rPr>
                <w:rFonts w:hint="eastAsia" w:ascii="宋体" w:hAnsi="宋体" w:cs="宋体"/>
                <w:color w:val="000000"/>
                <w:kern w:val="0"/>
                <w:szCs w:val="21"/>
              </w:rPr>
              <w:br w:type="textWrapping"/>
            </w:r>
            <w:r>
              <w:rPr>
                <w:rFonts w:hint="eastAsia" w:ascii="宋体" w:hAnsi="宋体" w:cs="宋体"/>
                <w:color w:val="000000"/>
                <w:kern w:val="0"/>
                <w:szCs w:val="21"/>
              </w:rPr>
              <w:t>合同条款纠纷</w:t>
            </w:r>
            <w:r>
              <w:rPr>
                <w:rFonts w:hint="eastAsia" w:ascii="宋体" w:hAnsi="宋体" w:cs="宋体"/>
                <w:color w:val="000000"/>
                <w:kern w:val="0"/>
                <w:szCs w:val="21"/>
              </w:rPr>
              <w:br w:type="textWrapping"/>
            </w:r>
            <w:r>
              <w:rPr>
                <w:rFonts w:hint="eastAsia" w:ascii="宋体" w:hAnsi="宋体" w:cs="宋体"/>
                <w:color w:val="000000"/>
                <w:kern w:val="0"/>
                <w:szCs w:val="21"/>
              </w:rPr>
              <w:t>理赔纠纷</w:t>
            </w:r>
            <w:r>
              <w:rPr>
                <w:rFonts w:hint="eastAsia" w:ascii="宋体" w:hAnsi="宋体" w:cs="宋体"/>
                <w:color w:val="000000"/>
                <w:kern w:val="0"/>
                <w:szCs w:val="21"/>
              </w:rPr>
              <w:br w:type="textWrapping"/>
            </w:r>
            <w:r>
              <w:rPr>
                <w:rFonts w:hint="eastAsia" w:ascii="宋体" w:hAnsi="宋体" w:cs="宋体"/>
                <w:color w:val="000000"/>
                <w:kern w:val="0"/>
                <w:szCs w:val="21"/>
              </w:rPr>
              <w:t>回访调查</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投诉原因</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TSYY</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填写投诉具体原因。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投诉日期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系统内记录的客户进行投诉的日期。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投诉有效标志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TSYXBZ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保单针对此投诉是否有效的标志。如以下情形可视为无效投诉:投诉人主张持有被投诉机构的存款、理财、保险等产品，但实际未发生的；被投诉机构因执行法律、法规及政策性规定无法向投诉人提供相关服务而被投诉的；投诉人主张的相关事项经法院判决确定存在违法犯罪情形的，及合同纠纷人民法院判决确定被投诉机构胜诉的；客户对处理结果满意，并主动提出撤诉等。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投诉处理开始时间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TSCLKSSJ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处理此投诉的开始时间。监管转办投诉为监管转办时间，公司自办投诉为新增投诉时间。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投诉处理结束时间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TSCLJSSJ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处理此投诉的结束时间。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投诉处理结果</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TSCLJG</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009002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投诉处理结果，填报中文描述。包括：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待解决（是指投诉件已受理，正在流转过程中还没处理的）</w:t>
            </w:r>
            <w:r>
              <w:rPr>
                <w:rFonts w:hint="eastAsia" w:ascii="宋体" w:hAnsi="宋体" w:cs="宋体"/>
                <w:color w:val="000000"/>
                <w:kern w:val="0"/>
                <w:szCs w:val="21"/>
              </w:rPr>
              <w:br w:type="textWrapping"/>
            </w:r>
            <w:r>
              <w:rPr>
                <w:rFonts w:hint="eastAsia" w:ascii="宋体" w:hAnsi="宋体" w:cs="宋体"/>
                <w:color w:val="000000"/>
                <w:kern w:val="0"/>
                <w:szCs w:val="21"/>
              </w:rPr>
              <w:t>解决中（是指投诉件已在处理，还未与客户协商，系统未结案的）</w:t>
            </w:r>
            <w:r>
              <w:rPr>
                <w:rFonts w:hint="eastAsia" w:ascii="宋体" w:hAnsi="宋体" w:cs="宋体"/>
                <w:color w:val="000000"/>
                <w:kern w:val="0"/>
                <w:szCs w:val="21"/>
              </w:rPr>
              <w:br w:type="textWrapping"/>
            </w:r>
            <w:r>
              <w:rPr>
                <w:rFonts w:hint="eastAsia" w:ascii="宋体" w:hAnsi="宋体" w:cs="宋体"/>
                <w:color w:val="000000"/>
                <w:kern w:val="0"/>
                <w:szCs w:val="21"/>
              </w:rPr>
              <w:t>已解决（是指投诉件已与客户协商达成一致，并系统结案的）</w:t>
            </w:r>
            <w:r>
              <w:rPr>
                <w:rFonts w:hint="eastAsia" w:ascii="宋体" w:hAnsi="宋体" w:cs="宋体"/>
                <w:color w:val="000000"/>
                <w:kern w:val="0"/>
                <w:szCs w:val="21"/>
              </w:rPr>
              <w:br w:type="textWrapping"/>
            </w:r>
            <w:r>
              <w:rPr>
                <w:rFonts w:hint="eastAsia" w:ascii="宋体" w:hAnsi="宋体" w:cs="宋体"/>
                <w:color w:val="000000"/>
                <w:kern w:val="0"/>
                <w:szCs w:val="21"/>
              </w:rPr>
              <w:t>已关闭（是指投诉件与客户协商未达成一致，系统已结案的）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投诉无效原因</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TSWXYY</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当投诉有效标志为“否”时，报送投诉无效具体原因。</w:t>
            </w:r>
          </w:p>
        </w:tc>
      </w:tr>
    </w:tbl>
    <w:p>
      <w:pPr>
        <w:pStyle w:val="44"/>
        <w:spacing w:line="560" w:lineRule="exact"/>
        <w:rPr>
          <w:rFonts w:ascii="Calibri" w:hAnsi="Calibri"/>
          <w:szCs w:val="22"/>
        </w:rPr>
      </w:pPr>
    </w:p>
    <w:p>
      <w:pPr>
        <w:pStyle w:val="6"/>
        <w:numPr>
          <w:ilvl w:val="0"/>
          <w:numId w:val="4"/>
        </w:numPr>
        <w:ind w:firstLine="600"/>
      </w:pPr>
      <w:r>
        <w:rPr>
          <w:rFonts w:hint="eastAsia"/>
        </w:rPr>
        <w:t>客户回访表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5"/>
        <w:gridCol w:w="1559"/>
        <w:gridCol w:w="843"/>
        <w:gridCol w:w="718"/>
        <w:gridCol w:w="718"/>
        <w:gridCol w:w="3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3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55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92"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KHHFB</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客户回访表</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0902</w:t>
            </w:r>
          </w:p>
        </w:tc>
        <w:tc>
          <w:tcPr>
            <w:tcW w:w="4592"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本表报送当前已发生保单客户回访信息。虚拟保单根据实际情况报送，保单编号使用虚拟保单编号。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3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55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5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又称保单号，是保险人在签发保单时按照公司自有编制规则印制在保单凭证上的编号。对于虚拟保单，保单编号中填报虚拟保单号。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回访顺序号</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HFSXH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保单每次回访的顺序唯一编码，即同一保单多次回访则报送多条，顺序号依次累加。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销售渠道类型</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XSQDLX</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005005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销售人员的销售渠道类型，对应《业务代码表》中的“销售渠道类型”，填报中文描述。例如：直接业务-传统直销业务-直销柜面。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管理机构代码</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GLJGDM</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001029</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负责向所属监管辖区银保监局报送数据的机构代码。如果是新成立的机构，其机构代码未包含在《业务代码表》中的“保险分支机构代码”中，则报送银保监会批准的新分支机构代码。对应《业务代码表》中的“保险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管理机构名称</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GLJGMC</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负责向所属监管辖区银保监局报送数据的机构。如果是新成立的机构，其机构未包含在《业务代码表》中的“保险分支机构代码”中，则报送银保监会批准的新分支机构名称。对应《业务代码表》中的“保险分支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投保人客户编号</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TBRKHBH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投保人客户在保险公司的唯一标识，需要保险公司提前对客户数据进行合并后报送。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回访类型</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HFLX</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009003</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对客户进行回访的类型，填报中文描述。包括：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电话回访</w:t>
            </w:r>
            <w:r>
              <w:rPr>
                <w:rFonts w:hint="eastAsia" w:ascii="宋体" w:hAnsi="宋体" w:cs="宋体"/>
                <w:color w:val="000000"/>
                <w:kern w:val="0"/>
                <w:szCs w:val="21"/>
              </w:rPr>
              <w:br w:type="textWrapping"/>
            </w:r>
            <w:r>
              <w:rPr>
                <w:rFonts w:hint="eastAsia" w:ascii="宋体" w:hAnsi="宋体" w:cs="宋体"/>
                <w:color w:val="000000"/>
                <w:kern w:val="0"/>
                <w:szCs w:val="21"/>
              </w:rPr>
              <w:t>电子回访</w:t>
            </w:r>
            <w:r>
              <w:rPr>
                <w:rFonts w:hint="eastAsia" w:ascii="宋体" w:hAnsi="宋体" w:cs="宋体"/>
                <w:color w:val="000000"/>
                <w:kern w:val="0"/>
                <w:szCs w:val="21"/>
              </w:rPr>
              <w:br w:type="textWrapping"/>
            </w:r>
            <w:r>
              <w:rPr>
                <w:rFonts w:hint="eastAsia" w:ascii="宋体" w:hAnsi="宋体" w:cs="宋体"/>
                <w:color w:val="000000"/>
                <w:kern w:val="0"/>
                <w:szCs w:val="21"/>
              </w:rPr>
              <w:t>面访</w:t>
            </w:r>
            <w:r>
              <w:rPr>
                <w:rFonts w:hint="eastAsia" w:ascii="宋体" w:hAnsi="宋体" w:cs="宋体"/>
                <w:color w:val="000000"/>
                <w:kern w:val="0"/>
                <w:szCs w:val="21"/>
              </w:rPr>
              <w:br w:type="textWrapping"/>
            </w:r>
            <w:r>
              <w:rPr>
                <w:rFonts w:hint="eastAsia" w:ascii="宋体" w:hAnsi="宋体" w:cs="宋体"/>
                <w:color w:val="000000"/>
                <w:kern w:val="0"/>
                <w:szCs w:val="21"/>
              </w:rPr>
              <w:t>信函回访</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回访电话</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HFDH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当回访类型为电话回访，填写该次回访拨打的客户电话。隐私，暂不取。公司需在本地保留原文数据，并报送“隐私”。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投保单申请日期</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TBDSQRQ</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客户填写投保单的日期。通常是投保单上客户签字日期，如果是电子投保单，则为投保单填写完成后的提交日期。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签单时间</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QDSJ</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客户投保单的签字时间。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保单生效日期</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BDSXRQ</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依法成立的保险合同，根据法律规定或合同约定在保险合同当事人之间产生法律约束力的日期。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保单回执客户签收日期</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BDHZKHQSRQ</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客户收到保险合同的回执日期。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回访日期</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HFRQ</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本次回访的日期。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回访成功标志</w:t>
            </w:r>
          </w:p>
        </w:tc>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HFCGBZ</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回访客户是否成功标志。填报中文描述：是，否。</w:t>
            </w:r>
          </w:p>
        </w:tc>
      </w:tr>
    </w:tbl>
    <w:p>
      <w:pPr>
        <w:pStyle w:val="44"/>
        <w:spacing w:line="560" w:lineRule="exact"/>
        <w:rPr>
          <w:szCs w:val="22"/>
        </w:rPr>
      </w:pPr>
    </w:p>
    <w:p>
      <w:pPr>
        <w:pStyle w:val="4"/>
      </w:pPr>
      <w:bookmarkStart w:id="55" w:name="_Toc1685583286"/>
      <w:bookmarkStart w:id="56" w:name="_Toc24883"/>
      <w:r>
        <w:rPr>
          <w:rFonts w:hint="eastAsia"/>
        </w:rPr>
        <w:t>车险专项信息</w:t>
      </w:r>
      <w:bookmarkEnd w:id="55"/>
      <w:bookmarkEnd w:id="56"/>
    </w:p>
    <w:p>
      <w:pPr>
        <w:pStyle w:val="51"/>
        <w:numPr>
          <w:ilvl w:val="0"/>
          <w:numId w:val="15"/>
        </w:numPr>
      </w:pPr>
      <w:r>
        <w:rPr>
          <w:rFonts w:hint="eastAsia"/>
        </w:rPr>
        <w:t>车险保单扩展信息表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CXBDKZXXB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车险保单扩展信息表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1001</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本表报送车险保单的专项信息。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交强险保费浮动比率</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JQXBFFDBL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指保险业监督管理机构会同国务院公安部门制定的与道路交通安全违法行为和道路交通事故相联系的浮动比率。适用于交强险。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限行减免金额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XXJMJE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往年限行期间减免的保费金额。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无赔款优待系数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WPKYDXS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又称NCD系数，是指与无赔款优待原因相对应的保费折扣系数。其中，无赔款优待是指被保险人或保险标的在一定期限内无赔款，在续保时可享受的保险费折扣。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自主核保系数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ZZHBXS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指保险人根据自身核保规则自主设置的，在一定范围内提供的保费折扣系数。适用于2020年车险综合改革前商业车险业务。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自主渠道系数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ZZQDXS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指保险人根据自身对营销渠道的内控管理和成本核算情况设置的，在一定范围内提供的保费折扣系数。适用于2020年车险综合改革前商业车险业务。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自主定价系数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ZZDJXS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指保险人自主设置的，在一定范围内提供的保费折扣系数。适用于2020年车险综合改革后商业车险业务。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交通违法系数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JTWFXS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指保险人根据被保险人或保险标的一定期限内的交通安全违法行为情况，在一定范围内提供的保费折扣系数。适用于商业车险。</w:t>
            </w:r>
          </w:p>
        </w:tc>
      </w:tr>
    </w:tbl>
    <w:p>
      <w:pPr>
        <w:pStyle w:val="44"/>
        <w:spacing w:line="560" w:lineRule="exact"/>
        <w:rPr>
          <w:rFonts w:ascii="Calibri" w:hAnsi="Calibri"/>
          <w:szCs w:val="22"/>
        </w:rPr>
      </w:pPr>
    </w:p>
    <w:p>
      <w:pPr>
        <w:pStyle w:val="6"/>
        <w:numPr>
          <w:ilvl w:val="0"/>
          <w:numId w:val="4"/>
        </w:numPr>
        <w:ind w:firstLine="600"/>
      </w:pPr>
      <w:r>
        <w:rPr>
          <w:rFonts w:hint="eastAsia"/>
        </w:rPr>
        <w:t>车险标的信息表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3"/>
        <w:gridCol w:w="1570"/>
        <w:gridCol w:w="842"/>
        <w:gridCol w:w="717"/>
        <w:gridCol w:w="717"/>
        <w:gridCol w:w="3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3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57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84"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CXBDXXB</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车险标的信息表</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1002</w:t>
            </w:r>
          </w:p>
        </w:tc>
        <w:tc>
          <w:tcPr>
            <w:tcW w:w="4584"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本表报送车险保单中标的的相关信息。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3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57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5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车辆所有人</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CLSYR</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又称车主，指对本保单标的车具有全部财产利益的人或者单位。应与机动车行驶证上登记的所有人保持一致。如车辆所有人为自然人，隐私，财产保险公司变形。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车辆所有人个人证件类型</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CLSYRGRZJLX</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被车辆所有人为自然人时，填写个人证件类型，对应《业务代码表》中的“个人身份证件类型”，填报中文描述。例如：居民身份证、军人身份证件、护照、出生医学证明等。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车辆所有人机构证件类型</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CLSYRJGZJLX</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当车辆说有人为团体时，填报机构证件类型，对应《业务代码表》中的“机构证件类型”，填报中文描述。例如：统一社会信用代码、组织机构代码证等。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车辆所有人证件号码</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CLSYRZJHM</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车辆所有人的证件号码。若为自然人证件号码，隐私，财产保险公司变形。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车辆号牌号码</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CLHPHM</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010005</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又称车牌号，指本保单标的车的车辆牌照号码。应与机动车行驶证上登记的号牌号码保持一致。隐私，财产保险公司变形。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车辆号牌种类</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CLHPZL</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010004</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车险标的车登记的号牌种类，对应《业务代码表》中的“号牌种类”，填报的中文描述。例如：大型汽车号牌、使馆汽车号牌等。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发动机号</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FDJH</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010002</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指本保单标的车的发动机编号。应与机动车行驶证上登记的发动机号码保持一致。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车辆识别码</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CLSBM</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010001</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VIN码，是根据道路车辆车辆识别码(VIN)编制标准制定的17位车辆编码，包含有车辆的生产厂家、年代、车型、车身型式及代码、发动机代码及组装地点等信息。适用于国产车或车架号符合车辆识别码编制规则的进口车。对于没有VIN码的车辆，在此字段中填报车辆的车架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车辆类型</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CLLX</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010003</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车险标的车用于机动车辆登记注册的机动车辆分类，应与机动车行驶证上登记的车辆类型保持一致，对应《业务代码表》中的“机动车车辆类型”，填报的中文描述。例如：小型轿车、中型货车等。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车辆种类</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CLZL</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010007</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车险标的车的车辆类别，对应《业务代码表》中的“车辆种类”，填报的中文描述。例如：客车、油罐车等。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整备质量</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ZBZL</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指本保单标的车的整备质量，单位为千克（kg）。应与机动车行驶证上登记的整备质量保持一致。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准牵引总质量</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ZQYZZL</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指本保单标的车的准牵引总质量，单位为千克（kg）。应与机动车行驶证上登记的准牵引总质量保持一致。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核定载质量</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HDZZL</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指本保单标的车的核定载质量，单位为千克（kg）。应与机动车行驶证上登记的核定载质量保持一致。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核定载客人数</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HDZKRS</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本保单标的车的核定载客人数。应与机动车行驶证上登记的核定载人数保持一致。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车辆能源种类</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CLNYZL</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010009</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车险标的车的能源种类，对应《业务代码表》中的“交管能源种类”，填报中文描述。例如：汽油、柴油等。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排量</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PL</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010010</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指本保单标的车的发动机排量。单位为升（L）。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车辆车型编号</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CLCXBH</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指本保单标的车在车险信息平台的行业车型编码。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车辆制造厂名称</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CLZZCMC</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指本保单标的车生产厂商的全称。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车辆品牌名称</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CLPPMC</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指本保单标的车品牌的中文或英文名称，有中文名称优先填报中文名称。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进口车标志</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JKCBZ</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记录本保单标的车是否为进口车。填报中文描述：是，否。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新车标志</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XCBZ</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记录本保单标的车是否为新车。新车指机动车初次登记日期距投保日期不超过九个月的机动车。填报中文描述：是，否。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新车购置价格</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XCGZJG</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指本保单标的车同类型新车在保险合同签订地的购置价，或投保人与保险人协商确定的价格（默认人民币）。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车辆实际价值</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CLSJJZ</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指本保单标的车的市场公允价值（默认人民币）。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车辆使用性质</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CLSYXZ</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010006</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车险标的车的使用性质，对应《业务代码表》中的“机动车使用性质”，填报中文描述。例如：家庭自用、企业非营业、旅游客运等。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车辆状态</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CLZT</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010008</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车险标的车的交管车辆机动车状态，对应《业务代码表》中的“交管车辆机动车状态”，填报中文描述。例如：查封、暂扣等。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过户车辆标志</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GHCLBZ</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记录本保单标的车是否为过户车。填报中文描述：是，否。其中，车辆过户指的是变更车辆所有人。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车辆初次登记日期</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CLCCDJRQ</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本保单标的车首次登记注册的日期。应与机动车行驶证上登记的注册日期保持一致。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车辆转移登记日期</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CLZYDJRQ</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本保单标的车转移登记的日期。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港澳车标志</w:t>
            </w:r>
          </w:p>
        </w:tc>
        <w:tc>
          <w:tcPr>
            <w:tcW w:w="15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GACBZ</w:t>
            </w:r>
          </w:p>
        </w:tc>
        <w:tc>
          <w:tcPr>
            <w:tcW w:w="8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记录本保单标的车是否为港澳地区登记注册的机动车。填报中文描述：是，否。</w:t>
            </w:r>
          </w:p>
        </w:tc>
      </w:tr>
    </w:tbl>
    <w:p>
      <w:pPr>
        <w:pStyle w:val="44"/>
        <w:spacing w:line="560" w:lineRule="exact"/>
        <w:rPr>
          <w:rFonts w:ascii="Calibri" w:hAnsi="Calibri"/>
          <w:szCs w:val="22"/>
        </w:rPr>
      </w:pPr>
    </w:p>
    <w:p>
      <w:pPr>
        <w:pStyle w:val="6"/>
        <w:numPr>
          <w:ilvl w:val="0"/>
          <w:numId w:val="4"/>
        </w:numPr>
        <w:ind w:firstLine="600"/>
      </w:pPr>
      <w:r>
        <w:rPr>
          <w:rFonts w:hint="eastAsia"/>
        </w:rPr>
        <w:t>车险代收车船税信息表</w:t>
      </w:r>
    </w:p>
    <w:tbl>
      <w:tblPr>
        <w:tblStyle w:val="28"/>
        <w:tblW w:w="839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CXDSCCSXXB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车险代收车船税信息表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1003</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本表报送车险代收车船税相关信息。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纳税类型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NSLX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010011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交强险保单标的车车船税缴纳类型的标识，填报中文描述。包括：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正常缴税</w:t>
            </w:r>
            <w:r>
              <w:rPr>
                <w:rFonts w:hint="eastAsia" w:ascii="宋体" w:hAnsi="宋体" w:cs="宋体"/>
                <w:color w:val="000000"/>
                <w:kern w:val="0"/>
                <w:szCs w:val="21"/>
              </w:rPr>
              <w:br w:type="textWrapping"/>
            </w:r>
            <w:r>
              <w:rPr>
                <w:rFonts w:hint="eastAsia" w:ascii="宋体" w:hAnsi="宋体" w:cs="宋体"/>
                <w:color w:val="000000"/>
                <w:kern w:val="0"/>
                <w:szCs w:val="21"/>
              </w:rPr>
              <w:t>免税</w:t>
            </w:r>
            <w:r>
              <w:rPr>
                <w:rFonts w:hint="eastAsia" w:ascii="宋体" w:hAnsi="宋体" w:cs="宋体"/>
                <w:color w:val="000000"/>
                <w:kern w:val="0"/>
                <w:szCs w:val="21"/>
              </w:rPr>
              <w:br w:type="textWrapping"/>
            </w:r>
            <w:r>
              <w:rPr>
                <w:rFonts w:hint="eastAsia" w:ascii="宋体" w:hAnsi="宋体" w:cs="宋体"/>
                <w:color w:val="000000"/>
                <w:kern w:val="0"/>
                <w:szCs w:val="21"/>
              </w:rPr>
              <w:t>减税</w:t>
            </w:r>
            <w:r>
              <w:rPr>
                <w:rFonts w:hint="eastAsia" w:ascii="宋体" w:hAnsi="宋体" w:cs="宋体"/>
                <w:color w:val="000000"/>
                <w:kern w:val="0"/>
                <w:szCs w:val="21"/>
              </w:rPr>
              <w:br w:type="textWrapping"/>
            </w:r>
            <w:r>
              <w:rPr>
                <w:rFonts w:hint="eastAsia" w:ascii="宋体" w:hAnsi="宋体" w:cs="宋体"/>
                <w:color w:val="000000"/>
                <w:kern w:val="0"/>
                <w:szCs w:val="21"/>
              </w:rPr>
              <w:t>已完税</w:t>
            </w:r>
            <w:r>
              <w:rPr>
                <w:rFonts w:hint="eastAsia" w:ascii="宋体" w:hAnsi="宋体" w:cs="宋体"/>
                <w:color w:val="000000"/>
                <w:kern w:val="0"/>
                <w:szCs w:val="21"/>
              </w:rPr>
              <w:br w:type="textWrapping"/>
            </w:r>
            <w:r>
              <w:rPr>
                <w:rFonts w:hint="eastAsia" w:ascii="宋体" w:hAnsi="宋体" w:cs="宋体"/>
                <w:color w:val="000000"/>
                <w:kern w:val="0"/>
                <w:szCs w:val="21"/>
              </w:rPr>
              <w:t>有争议</w:t>
            </w:r>
            <w:r>
              <w:rPr>
                <w:rFonts w:hint="eastAsia" w:ascii="宋体" w:hAnsi="宋体" w:cs="宋体"/>
                <w:color w:val="000000"/>
                <w:kern w:val="0"/>
                <w:szCs w:val="21"/>
              </w:rPr>
              <w:br w:type="textWrapping"/>
            </w:r>
            <w:r>
              <w:rPr>
                <w:rFonts w:hint="eastAsia" w:ascii="宋体" w:hAnsi="宋体" w:cs="宋体"/>
                <w:color w:val="000000"/>
                <w:kern w:val="0"/>
                <w:szCs w:val="21"/>
              </w:rPr>
              <w:t>拒缴</w:t>
            </w:r>
            <w:r>
              <w:rPr>
                <w:rFonts w:hint="eastAsia" w:ascii="宋体" w:hAnsi="宋体" w:cs="宋体"/>
                <w:color w:val="000000"/>
                <w:kern w:val="0"/>
                <w:szCs w:val="21"/>
              </w:rPr>
              <w:br w:type="textWrapping"/>
            </w:r>
            <w:r>
              <w:rPr>
                <w:rFonts w:hint="eastAsia" w:ascii="宋体" w:hAnsi="宋体" w:cs="宋体"/>
                <w:color w:val="000000"/>
                <w:kern w:val="0"/>
                <w:szCs w:val="21"/>
              </w:rPr>
              <w:t>不征税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减免税类型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JMSLX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交强险保单标的车车船税减免类型的标识，填报中文描述。包括：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 xml:space="preserve">具备减免税证明 </w:t>
            </w:r>
            <w:r>
              <w:rPr>
                <w:rFonts w:hint="eastAsia" w:ascii="宋体" w:hAnsi="宋体" w:cs="宋体"/>
                <w:color w:val="000000"/>
                <w:kern w:val="0"/>
                <w:szCs w:val="21"/>
              </w:rPr>
              <w:br w:type="textWrapping"/>
            </w:r>
            <w:r>
              <w:rPr>
                <w:rFonts w:hint="eastAsia" w:ascii="宋体" w:hAnsi="宋体" w:cs="宋体"/>
                <w:color w:val="000000"/>
                <w:kern w:val="0"/>
                <w:szCs w:val="21"/>
              </w:rPr>
              <w:t xml:space="preserve">拖拉机 </w:t>
            </w:r>
            <w:r>
              <w:rPr>
                <w:rFonts w:hint="eastAsia" w:ascii="宋体" w:hAnsi="宋体" w:cs="宋体"/>
                <w:color w:val="000000"/>
                <w:kern w:val="0"/>
                <w:szCs w:val="21"/>
              </w:rPr>
              <w:br w:type="textWrapping"/>
            </w:r>
            <w:r>
              <w:rPr>
                <w:rFonts w:hint="eastAsia" w:ascii="宋体" w:hAnsi="宋体" w:cs="宋体"/>
                <w:color w:val="000000"/>
                <w:kern w:val="0"/>
                <w:szCs w:val="21"/>
              </w:rPr>
              <w:t xml:space="preserve">军队、武警专用车 </w:t>
            </w:r>
            <w:r>
              <w:rPr>
                <w:rFonts w:hint="eastAsia" w:ascii="宋体" w:hAnsi="宋体" w:cs="宋体"/>
                <w:color w:val="000000"/>
                <w:kern w:val="0"/>
                <w:szCs w:val="21"/>
              </w:rPr>
              <w:br w:type="textWrapping"/>
            </w:r>
            <w:r>
              <w:rPr>
                <w:rFonts w:hint="eastAsia" w:ascii="宋体" w:hAnsi="宋体" w:cs="宋体"/>
                <w:color w:val="000000"/>
                <w:kern w:val="0"/>
                <w:szCs w:val="21"/>
              </w:rPr>
              <w:t xml:space="preserve">警车 </w:t>
            </w:r>
            <w:r>
              <w:rPr>
                <w:rFonts w:hint="eastAsia" w:ascii="宋体" w:hAnsi="宋体" w:cs="宋体"/>
                <w:color w:val="000000"/>
                <w:kern w:val="0"/>
                <w:szCs w:val="21"/>
              </w:rPr>
              <w:br w:type="textWrapping"/>
            </w:r>
            <w:r>
              <w:rPr>
                <w:rFonts w:hint="eastAsia" w:ascii="宋体" w:hAnsi="宋体" w:cs="宋体"/>
                <w:color w:val="000000"/>
                <w:kern w:val="0"/>
                <w:szCs w:val="21"/>
              </w:rPr>
              <w:t xml:space="preserve">外国使领馆、国际组织及其人员 </w:t>
            </w:r>
            <w:r>
              <w:rPr>
                <w:rFonts w:hint="eastAsia" w:ascii="宋体" w:hAnsi="宋体" w:cs="宋体"/>
                <w:color w:val="000000"/>
                <w:kern w:val="0"/>
                <w:szCs w:val="21"/>
              </w:rPr>
              <w:br w:type="textWrapping"/>
            </w:r>
            <w:r>
              <w:rPr>
                <w:rFonts w:hint="eastAsia" w:ascii="宋体" w:hAnsi="宋体" w:cs="宋体"/>
                <w:color w:val="000000"/>
                <w:kern w:val="0"/>
                <w:szCs w:val="21"/>
              </w:rPr>
              <w:t xml:space="preserve">能源减免 </w:t>
            </w:r>
            <w:r>
              <w:rPr>
                <w:rFonts w:hint="eastAsia" w:ascii="宋体" w:hAnsi="宋体" w:cs="宋体"/>
                <w:color w:val="000000"/>
                <w:kern w:val="0"/>
                <w:szCs w:val="21"/>
              </w:rPr>
              <w:br w:type="textWrapping"/>
            </w:r>
            <w:r>
              <w:rPr>
                <w:rFonts w:hint="eastAsia" w:ascii="宋体" w:hAnsi="宋体" w:cs="宋体"/>
                <w:color w:val="000000"/>
                <w:kern w:val="0"/>
                <w:szCs w:val="21"/>
              </w:rPr>
              <w:t xml:space="preserve">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纳税人识别号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NSRSBH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纳税人识别号是企业、公民等纳税人由税务机关编制并登记的唯一且终身不变的确认其身份的数字代码标识。纳税人识别号指交强险保单车辆所有人的纳税人识别号。隐私，财产保险公司变形。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当年应缴税额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DNYJSE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指交强险保单标的车投保当年应缴车船税总额。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往年补缴税额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WNBJSE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指交强险保单标的车投保当年应补缴的往年车船税总额。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滞纳金总额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ZNJZE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指交强险保单标的车投保当年应缴纳的车船税滞纳金总额。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总缴付金额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ZJFJE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指交强险保单标的车当年缴纳的车船税相关总金额。总缴付金额=当年应缴税额+往年补缴税额+滞纳金总额。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完税凭证号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WSPZH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当纳税类型为已完税时，必填。完税凭证是税务机关征收税款时依照税法规定给纳税人开具的专用凭证。完税凭证号是指交强险保单标的车车船税征收税务机关开具的完税凭证的号码。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开具税务机关代码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KJSWJGDM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010013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当纳税类型为已完税时，必填。指交强险保单标的车车船税征收税务机关的代码。要求填写：税务机构代码采用中华人民共和国税务行业标准</w:t>
            </w:r>
            <w:r>
              <w:rPr>
                <w:rFonts w:hint="eastAsia" w:ascii="宋体" w:hAnsi="宋体" w:cs="宋体"/>
                <w:color w:val="000000"/>
                <w:kern w:val="0"/>
                <w:szCs w:val="21"/>
              </w:rPr>
              <w:br w:type="textWrapping"/>
            </w:r>
            <w:r>
              <w:rPr>
                <w:rFonts w:hint="eastAsia" w:ascii="宋体" w:hAnsi="宋体" w:cs="宋体"/>
                <w:color w:val="000000"/>
                <w:kern w:val="0"/>
                <w:szCs w:val="21"/>
              </w:rPr>
              <w:t>《税务机构代码》（SW 12-2018）中规定的层次码，用11位阿拉伯数字表示，共分6层，第1层1位数字，表示税务机构类别，其后每2位数字为1层，分别表示省、地市、区县、乡镇、股级。</w:t>
            </w:r>
          </w:p>
        </w:tc>
      </w:tr>
    </w:tbl>
    <w:p>
      <w:pPr>
        <w:pStyle w:val="44"/>
        <w:spacing w:line="560" w:lineRule="exact"/>
        <w:rPr>
          <w:rFonts w:ascii="Calibri" w:hAnsi="Calibri"/>
          <w:szCs w:val="22"/>
        </w:rPr>
      </w:pPr>
    </w:p>
    <w:p>
      <w:pPr>
        <w:pStyle w:val="6"/>
        <w:numPr>
          <w:ilvl w:val="0"/>
          <w:numId w:val="4"/>
        </w:numPr>
        <w:ind w:firstLine="600"/>
      </w:pPr>
      <w:r>
        <w:rPr>
          <w:rFonts w:hint="eastAsia"/>
        </w:rPr>
        <w:t>车险查勘信息表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1634"/>
        <w:gridCol w:w="835"/>
        <w:gridCol w:w="711"/>
        <w:gridCol w:w="711"/>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63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3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41"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CXCKXXB</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车险查勘信息表</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1004</w:t>
            </w:r>
          </w:p>
        </w:tc>
        <w:tc>
          <w:tcPr>
            <w:tcW w:w="4541"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本表报送车险案件中的查勘信息。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63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3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报案编号</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BABH</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又称报案号，是保险公司在接到报案时按一定规则生成的编号。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又称保单号，是保险人在签发保单时按照公司自有编制规则印制在保单凭证上的编号。这里指本次查勘相关联的保单编号。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单车事故标志</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DCSGBZ</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记录本次事故是否只涉及被保险车辆，不涉及其他机动车。填报中文描述：是，否。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单方事故标志</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DFSGBZ</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记录本次事故是否只涉及被保险车辆一方，或无法找到第三方。填报中文描述：是，否。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互碰自赔标志</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HPZPBZ</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出险车辆是否对应“互碰自赔”方式处理，适用于交强险。其中，“互碰自赔”机制是指事故各方均有责任，各方车辆损失均在交强险有责任财产损失赔偿限额以内，不涉及人员伤亡和车外财产损失的交通事故，由各保险公司在本方机动车交强险有责任财产损失赔偿限额内对本车损失进行赔付。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保险事故分类</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BXSGFL</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008008</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本次交通事故的分类，对应《业务代码表》中的“保险事故分类”，填报中文描述。例如：侧面相撞、自燃等。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事故责任划分</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SGZRHF</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008004</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事故责任划分类型，填报中文描述。包括：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全部责任</w:t>
            </w:r>
            <w:r>
              <w:rPr>
                <w:rFonts w:hint="eastAsia" w:ascii="宋体" w:hAnsi="宋体" w:cs="宋体"/>
                <w:color w:val="000000"/>
                <w:kern w:val="0"/>
                <w:szCs w:val="21"/>
              </w:rPr>
              <w:br w:type="textWrapping"/>
            </w:r>
            <w:r>
              <w:rPr>
                <w:rFonts w:hint="eastAsia" w:ascii="宋体" w:hAnsi="宋体" w:cs="宋体"/>
                <w:color w:val="000000"/>
                <w:kern w:val="0"/>
                <w:szCs w:val="21"/>
              </w:rPr>
              <w:t>主要责任</w:t>
            </w:r>
            <w:r>
              <w:rPr>
                <w:rFonts w:hint="eastAsia" w:ascii="宋体" w:hAnsi="宋体" w:cs="宋体"/>
                <w:color w:val="000000"/>
                <w:kern w:val="0"/>
                <w:szCs w:val="21"/>
              </w:rPr>
              <w:br w:type="textWrapping"/>
            </w:r>
            <w:r>
              <w:rPr>
                <w:rFonts w:hint="eastAsia" w:ascii="宋体" w:hAnsi="宋体" w:cs="宋体"/>
                <w:color w:val="000000"/>
                <w:kern w:val="0"/>
                <w:szCs w:val="21"/>
              </w:rPr>
              <w:t>同等责任</w:t>
            </w:r>
            <w:r>
              <w:rPr>
                <w:rFonts w:hint="eastAsia" w:ascii="宋体" w:hAnsi="宋体" w:cs="宋体"/>
                <w:color w:val="000000"/>
                <w:kern w:val="0"/>
                <w:szCs w:val="21"/>
              </w:rPr>
              <w:br w:type="textWrapping"/>
            </w:r>
            <w:r>
              <w:rPr>
                <w:rFonts w:hint="eastAsia" w:ascii="宋体" w:hAnsi="宋体" w:cs="宋体"/>
                <w:color w:val="000000"/>
                <w:kern w:val="0"/>
                <w:szCs w:val="21"/>
              </w:rPr>
              <w:t>次要责任</w:t>
            </w:r>
            <w:r>
              <w:rPr>
                <w:rFonts w:hint="eastAsia" w:ascii="宋体" w:hAnsi="宋体" w:cs="宋体"/>
                <w:color w:val="000000"/>
                <w:kern w:val="0"/>
                <w:szCs w:val="21"/>
              </w:rPr>
              <w:br w:type="textWrapping"/>
            </w:r>
            <w:r>
              <w:rPr>
                <w:rFonts w:hint="eastAsia" w:ascii="宋体" w:hAnsi="宋体" w:cs="宋体"/>
                <w:color w:val="000000"/>
                <w:kern w:val="0"/>
                <w:szCs w:val="21"/>
              </w:rPr>
              <w:t>无责任</w:t>
            </w:r>
            <w:r>
              <w:rPr>
                <w:rFonts w:hint="eastAsia" w:ascii="宋体" w:hAnsi="宋体" w:cs="宋体"/>
                <w:color w:val="000000"/>
                <w:kern w:val="0"/>
                <w:szCs w:val="21"/>
              </w:rPr>
              <w:br w:type="textWrapping"/>
            </w:r>
            <w:r>
              <w:rPr>
                <w:rFonts w:hint="eastAsia" w:ascii="宋体" w:hAnsi="宋体" w:cs="宋体"/>
                <w:color w:val="000000"/>
                <w:kern w:val="0"/>
                <w:szCs w:val="21"/>
              </w:rPr>
              <w:t>不确定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事故处理方式</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SGCLFS</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008003</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事故处理方式，填报中文描述。包括：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保险公司处理</w:t>
            </w:r>
            <w:r>
              <w:rPr>
                <w:rFonts w:hint="eastAsia" w:ascii="宋体" w:hAnsi="宋体" w:cs="宋体"/>
                <w:color w:val="000000"/>
                <w:kern w:val="0"/>
                <w:szCs w:val="21"/>
              </w:rPr>
              <w:br w:type="textWrapping"/>
            </w:r>
            <w:r>
              <w:rPr>
                <w:rFonts w:hint="eastAsia" w:ascii="宋体" w:hAnsi="宋体" w:cs="宋体"/>
                <w:color w:val="000000"/>
                <w:kern w:val="0"/>
                <w:szCs w:val="21"/>
              </w:rPr>
              <w:t>自行协商</w:t>
            </w:r>
            <w:r>
              <w:rPr>
                <w:rFonts w:hint="eastAsia" w:ascii="宋体" w:hAnsi="宋体" w:cs="宋体"/>
                <w:color w:val="000000"/>
                <w:kern w:val="0"/>
                <w:szCs w:val="21"/>
              </w:rPr>
              <w:br w:type="textWrapping"/>
            </w:r>
            <w:r>
              <w:rPr>
                <w:rFonts w:hint="eastAsia" w:ascii="宋体" w:hAnsi="宋体" w:cs="宋体"/>
                <w:color w:val="000000"/>
                <w:kern w:val="0"/>
                <w:szCs w:val="21"/>
              </w:rPr>
              <w:t>交管正常处理</w:t>
            </w:r>
            <w:r>
              <w:rPr>
                <w:rFonts w:hint="eastAsia" w:ascii="宋体" w:hAnsi="宋体" w:cs="宋体"/>
                <w:color w:val="000000"/>
                <w:kern w:val="0"/>
                <w:szCs w:val="21"/>
              </w:rPr>
              <w:br w:type="textWrapping"/>
            </w:r>
            <w:r>
              <w:rPr>
                <w:rFonts w:hint="eastAsia" w:ascii="宋体" w:hAnsi="宋体" w:cs="宋体"/>
                <w:color w:val="000000"/>
                <w:kern w:val="0"/>
                <w:szCs w:val="21"/>
              </w:rPr>
              <w:t>交警简易程序处理</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责任认定书类型</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ZRRDSLX</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008007</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事故责任认定书类型，填报中文描述。包括：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交通事故责任认定书</w:t>
            </w:r>
            <w:r>
              <w:rPr>
                <w:rFonts w:hint="eastAsia" w:ascii="宋体" w:hAnsi="宋体" w:cs="宋体"/>
                <w:color w:val="000000"/>
                <w:kern w:val="0"/>
                <w:szCs w:val="21"/>
              </w:rPr>
              <w:br w:type="textWrapping"/>
            </w:r>
            <w:r>
              <w:rPr>
                <w:rFonts w:hint="eastAsia" w:ascii="宋体" w:hAnsi="宋体" w:cs="宋体"/>
                <w:color w:val="000000"/>
                <w:kern w:val="0"/>
                <w:szCs w:val="21"/>
              </w:rPr>
              <w:t>机动车交通事故快速处理协议书</w:t>
            </w:r>
            <w:r>
              <w:rPr>
                <w:rFonts w:hint="eastAsia" w:ascii="宋体" w:hAnsi="宋体" w:cs="宋体"/>
                <w:color w:val="000000"/>
                <w:kern w:val="0"/>
                <w:szCs w:val="21"/>
              </w:rPr>
              <w:br w:type="textWrapping"/>
            </w:r>
            <w:r>
              <w:rPr>
                <w:rFonts w:hint="eastAsia" w:ascii="宋体" w:hAnsi="宋体" w:cs="宋体"/>
                <w:color w:val="000000"/>
                <w:kern w:val="0"/>
                <w:szCs w:val="21"/>
              </w:rPr>
              <w:t>其他认定事故责任的证明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代位追偿案件标志</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DWZCAJBZ</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人按照保险合同规定，对保险标的全部或部分损失履行经济补偿。如果补偿的全部或部分应由第三者承担，保险人可以代被保险人向第三者实施索赔。保险人的这种权利称为"代位追偿"。代位追偿案件标志是记录本次出险是否执行“代位追偿”程序。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代位索赔申请书标志</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DWSPSQSBZ</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记录本次案件是否有代位索赔申请书。填报中文描述：是，否。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驾驶员姓名</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JSYXM</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记录本次事故被保险车辆的驾驶员姓名，填报中文描述。隐私，财产保险公司变形。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驾驶员电话</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JSYDH</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记录本次事故被保险车辆的驾驶员电话，填报中文描述。隐私，暂不取，保险公司需在本地保留原文数据，并报送“隐私”。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驾驶员证件类型</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JSYZJLX</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记录本次事故被保险车辆驾驶员的证件类型，对应《业务代码表》中的“个人身份证件类型”，填报中文描述。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驾驶员证件号码</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JSYZJHM</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驾驶员的证件号码。若为自然人证件号码，隐私，财产保险公司变形。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标的车损失部位</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BDCSSBW</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记录本次事故标的车的损失部位，填报中文描述。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车辆查勘人员姓名</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CLCKRYXM</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记录本次事故查勘人员的姓名，填报中文描述。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车辆查勘人员身份证号码</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CLCKRYSFZHM</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记录本次事故查勘人员的身份证号码，若为自然人证件号码，隐私，财产保险公司变形。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车辆定损人员姓名</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CLDSRYXM</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记录本次事故车辆定损人员的姓名，填报中文描述。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车辆定损人员身份证号码</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CLDSRYSFZHM</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记录本次事故车辆定损人员的身份证号码，若为自然人证件号码，隐私，财产保险公司变形。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人员伤亡标志</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RYSWBZ</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记录本次事故是否造成人员伤亡，填报中文描述：是，否。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财产损失标志</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CCSSBZ</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记录本次事故是否造成财产损失，填报中文描述：是，否。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出警交警部门名称</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CJJJBMMC</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记录本次事故出警的交警部门名称，填报中文描述。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出警民警姓名</w:t>
            </w:r>
          </w:p>
        </w:tc>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CJMJXM</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记录本次事故出警的民警姓名，填报中文描述。</w:t>
            </w:r>
          </w:p>
        </w:tc>
      </w:tr>
    </w:tbl>
    <w:p>
      <w:pPr>
        <w:pStyle w:val="44"/>
        <w:spacing w:line="560" w:lineRule="exact"/>
        <w:rPr>
          <w:rFonts w:ascii="Calibri" w:hAnsi="Calibri"/>
          <w:szCs w:val="22"/>
        </w:rPr>
      </w:pPr>
    </w:p>
    <w:p>
      <w:pPr>
        <w:pStyle w:val="6"/>
        <w:numPr>
          <w:ilvl w:val="0"/>
          <w:numId w:val="4"/>
        </w:numPr>
        <w:ind w:firstLine="600"/>
      </w:pPr>
      <w:r>
        <w:rPr>
          <w:rFonts w:hint="eastAsia"/>
        </w:rPr>
        <w:t>车险车辆损失信息表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
        <w:gridCol w:w="2087"/>
        <w:gridCol w:w="823"/>
        <w:gridCol w:w="670"/>
        <w:gridCol w:w="670"/>
        <w:gridCol w:w="28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208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207"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CXCLSSXXB</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车险车辆损失信息表</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1005</w:t>
            </w:r>
          </w:p>
        </w:tc>
        <w:tc>
          <w:tcPr>
            <w:tcW w:w="4207"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本表报送车险案件中车辆的损失信息。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208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7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7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6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赔付标的序号</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PFBDXH</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条款编号</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TKBH</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004002</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本责任所对应的条款的编号，为保险公司为条款分配的唯一管理编号。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责任编号</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ZRBH</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保险合同中约定的保险人向被保险人提供保险保障的范围。标识保险人在保险条款载明的各类型保险事故发生时，在约定的责任范围内承担的赔偿责任的编号。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第三方车辆标志</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DSFCLBZ</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记录事故受损车辆是否是第三方车辆。填报中文描述：是，否。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第三方车辆交强险保单编号</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DSFCLJQXBDBH</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指事故中第三方车辆交强险保险单的编号。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第三方车辆交强险所属保险机构编号</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DSFCLJQXSSBXJGBH</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指事故中第三方车辆交强险承保保险机构的编号。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第三方车辆号牌号码</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DSFCLHPHM</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010005</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jc w:val="center"/>
              <w:rPr>
                <w:rFonts w:ascii="等线" w:hAnsi="宋体" w:eastAsia="等线" w:cs="宋体"/>
                <w:color w:val="000000"/>
                <w:sz w:val="22"/>
                <w:szCs w:val="22"/>
              </w:rPr>
            </w:pPr>
            <w:r>
              <w:rPr>
                <w:rFonts w:hint="eastAsia" w:ascii="等线" w:eastAsia="等线"/>
                <w:color w:val="000000"/>
                <w:sz w:val="22"/>
                <w:szCs w:val="22"/>
              </w:rPr>
              <w:t>Y</w:t>
            </w:r>
          </w:p>
        </w:tc>
        <w:tc>
          <w:tcPr>
            <w:tcW w:w="2867" w:type="dxa"/>
            <w:shd w:val="clear" w:color="auto" w:fill="auto"/>
            <w:vAlign w:val="center"/>
          </w:tcPr>
          <w:p>
            <w:pPr>
              <w:rPr>
                <w:rFonts w:ascii="等线" w:hAnsi="宋体" w:eastAsia="等线" w:cs="宋体"/>
                <w:color w:val="000000"/>
                <w:sz w:val="22"/>
                <w:szCs w:val="22"/>
              </w:rPr>
            </w:pPr>
            <w:r>
              <w:rPr>
                <w:rFonts w:hint="eastAsia" w:ascii="等线" w:eastAsia="等线"/>
                <w:color w:val="000000"/>
                <w:sz w:val="22"/>
                <w:szCs w:val="22"/>
              </w:rPr>
              <w:t>指本次事故第三方车辆的牌照号码。应与机动车行驶证上登记的号牌号码保持一致。隐私，财产保险公司变形。第三方车辆标志为是时，必填。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第三方车辆号牌种类</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DSFCLHPZL</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010004</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jc w:val="center"/>
              <w:rPr>
                <w:rFonts w:ascii="等线" w:hAnsi="宋体" w:eastAsia="等线" w:cs="宋体"/>
                <w:color w:val="000000"/>
                <w:sz w:val="22"/>
                <w:szCs w:val="22"/>
              </w:rPr>
            </w:pPr>
            <w:r>
              <w:rPr>
                <w:rFonts w:hint="eastAsia" w:ascii="等线" w:eastAsia="等线"/>
                <w:color w:val="000000"/>
                <w:sz w:val="22"/>
                <w:szCs w:val="22"/>
              </w:rPr>
              <w:t>Y</w:t>
            </w:r>
          </w:p>
        </w:tc>
        <w:tc>
          <w:tcPr>
            <w:tcW w:w="2867" w:type="dxa"/>
            <w:shd w:val="clear" w:color="auto" w:fill="auto"/>
            <w:vAlign w:val="center"/>
          </w:tcPr>
          <w:p>
            <w:pPr>
              <w:rPr>
                <w:rFonts w:ascii="等线" w:hAnsi="宋体" w:eastAsia="等线" w:cs="宋体"/>
                <w:color w:val="000000"/>
                <w:sz w:val="22"/>
                <w:szCs w:val="22"/>
              </w:rPr>
            </w:pPr>
            <w:r>
              <w:rPr>
                <w:rFonts w:hint="eastAsia" w:ascii="等线" w:eastAsia="等线"/>
                <w:color w:val="000000"/>
                <w:sz w:val="22"/>
                <w:szCs w:val="22"/>
              </w:rPr>
              <w:t>指本次事故第三方车辆的号牌种类，对应《业务代码表》中的“号牌种类”，填报的中文描述。例如：大型汽车号牌、使馆汽车号牌等。第三方车辆标志为是时，必填。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第三方车辆识别码</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DSFCLSBM</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010001</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jc w:val="center"/>
              <w:rPr>
                <w:rFonts w:ascii="等线" w:hAnsi="宋体" w:eastAsia="等线" w:cs="宋体"/>
                <w:color w:val="000000"/>
                <w:sz w:val="22"/>
                <w:szCs w:val="22"/>
              </w:rPr>
            </w:pPr>
            <w:r>
              <w:rPr>
                <w:rFonts w:hint="eastAsia" w:ascii="等线" w:eastAsia="等线"/>
                <w:color w:val="000000"/>
                <w:sz w:val="22"/>
                <w:szCs w:val="22"/>
              </w:rPr>
              <w:t>Y</w:t>
            </w:r>
          </w:p>
        </w:tc>
        <w:tc>
          <w:tcPr>
            <w:tcW w:w="2867" w:type="dxa"/>
            <w:shd w:val="clear" w:color="auto" w:fill="auto"/>
            <w:vAlign w:val="center"/>
          </w:tcPr>
          <w:p>
            <w:pPr>
              <w:rPr>
                <w:rFonts w:ascii="等线" w:hAnsi="宋体" w:eastAsia="等线" w:cs="宋体"/>
                <w:color w:val="000000"/>
                <w:sz w:val="22"/>
                <w:szCs w:val="22"/>
              </w:rPr>
            </w:pPr>
            <w:r>
              <w:rPr>
                <w:rFonts w:hint="eastAsia" w:ascii="等线" w:eastAsia="等线"/>
                <w:color w:val="000000"/>
                <w:sz w:val="22"/>
                <w:szCs w:val="22"/>
              </w:rPr>
              <w:t>又称VIN码，是根据道路车辆车辆识别码(VIN)编制标准制定的17位车辆编码，包含有车辆的生产厂家、年代、车型、车身型式及代码、发动机代码及组装地点等信息。适用于国产车或车架号符合车辆识别码编制规则的进口车。对于没有VIN码的车辆，在此字段中填报车辆的车架号码。第三方车辆标志为是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核定损失金额</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HDSSJE</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指核定损人员根据实际情况评估核定的，对应该标的责任的损失金额，报送人民币。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残值回收预估金额</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CZHSYGJE</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残值是被保险的财产遭受损失后剩余的经济价值。残值回收预估金额指保险事故发生后，预先估算可能收回的残值金额。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车辆全损标志</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CLQSBZ</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全损是指保险标的完全损毁或灭失，全损可分为实际全损、推定全损与协议全损。推定全损是指保险标的发生保险事故后其实际全损已经不可避免，或者为避免发生实际全损所需支付的费用超过保险价值。协议全损是指保险标的发生保险事故后，保险标的损失程度未达到实际全损，也不符合推定全损时，但经被保险人请求，保险人同意对保险标的按全部损失进行赔偿。车辆全损标志记录本保单标的车在本次案件中是否全损或推定全损或协议全损。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车辆驾驶员姓名</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CLJSYXM</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记录受损车辆的驾驶员姓名，填报中文描述。若为第三方车辆，填写第三方车辆相关信息。隐私，财产保险公司变形。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车辆驾驶员电话</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CLJSYDH</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记录受损车辆的驾驶员电话，填报中文描述。若为第三方车辆，填写第三方车辆相关信息。隐私，暂不取，保险公司需在本地保留原文数据，并报送“隐私”。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车辆驾驶员证件类型</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CLJSYZJLX</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受损车辆驾驶员证件类型，填写个人证件类型，对应《业务代码表》中的“个人身份证件类型”，填报中文描述。例如：居民身份证、军人身份证件、护照、出生医学证明等。若为第三方车辆，填写第三方车辆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车辆驾驶员证件号码</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CLJSYZJHM</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受损车辆驾驶员的证件号码。若为第三方车辆，填写第三方车辆相关信息。隐私，财产保险公司变形。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车辆损失部位</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CLSSBW</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记录受损车辆的损失部位，填报中文描述。若为第三方车辆，填写第三方车辆相关信息。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车辆修理机构名称</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CLXLJGMC</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记录受损车辆修理机构名称，填报中文描述。若为第三方车辆，填写第三方车辆相关信息。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车辆修理机构统一社会信用代码</w:t>
            </w:r>
          </w:p>
        </w:tc>
        <w:tc>
          <w:tcPr>
            <w:tcW w:w="208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CLXLJGTYSHXYDM</w:t>
            </w:r>
          </w:p>
        </w:tc>
        <w:tc>
          <w:tcPr>
            <w:tcW w:w="8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6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车辆修理机构的统一社会信用代码。</w:t>
            </w:r>
          </w:p>
        </w:tc>
      </w:tr>
    </w:tbl>
    <w:p>
      <w:pPr>
        <w:pStyle w:val="44"/>
        <w:spacing w:line="560" w:lineRule="exact"/>
        <w:rPr>
          <w:rFonts w:ascii="Calibri" w:hAnsi="Calibri"/>
          <w:szCs w:val="22"/>
        </w:rPr>
      </w:pPr>
    </w:p>
    <w:p>
      <w:pPr>
        <w:pStyle w:val="6"/>
        <w:numPr>
          <w:ilvl w:val="0"/>
          <w:numId w:val="4"/>
        </w:numPr>
        <w:ind w:firstLine="600"/>
      </w:pPr>
      <w:r>
        <w:rPr>
          <w:rFonts w:hint="eastAsia"/>
        </w:rPr>
        <w:t>车险财产损失信息表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CXCCSSXXB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车险财产损失信息表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1006</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本表报送车险案件中财产的损失信息。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赔付标的序号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PFBDXH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条款编号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TKBH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本责任所对应的条款的编号，为保险公司为条款分配的唯一管理编号。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责任编号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ZRBH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保险合同中约定的保险人向被保险人提供保险保障的范围。标识保险人在保险条款载明的各类型保险事故发生时，在约定的责任范围内承担的赔偿责任的编号。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核定损失金额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HDSSJE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指核定损失人员根据实际情况评估核定的，对应该标的责任的损失金额（报送人民币）。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核损人员姓名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HSRYXM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记录本次事故车辆核损人员的姓名，填报中文描述。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核损人员身份证号码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HSRYSFZHM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记录本次事故车辆核损人员的身份证号码，若为自然人证件号码，隐私，财产保险公司变形。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残值回收预估金额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CZHSYGJE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残值是被保险的财产遭受损失后剩余的经济价值。残值回收预估金额指保险事故发生后，预先估算可能收回的残值金额。</w:t>
            </w:r>
          </w:p>
        </w:tc>
      </w:tr>
    </w:tbl>
    <w:p>
      <w:pPr>
        <w:pStyle w:val="44"/>
        <w:spacing w:line="560" w:lineRule="exact"/>
        <w:rPr>
          <w:rFonts w:ascii="Calibri" w:hAnsi="Calibri"/>
          <w:szCs w:val="22"/>
        </w:rPr>
      </w:pPr>
    </w:p>
    <w:p>
      <w:pPr>
        <w:pStyle w:val="6"/>
        <w:numPr>
          <w:ilvl w:val="0"/>
          <w:numId w:val="4"/>
        </w:numPr>
        <w:ind w:firstLine="600"/>
      </w:pPr>
      <w:r>
        <w:rPr>
          <w:rFonts w:hint="eastAsia"/>
        </w:rPr>
        <w:t>车险人员伤亡信息表</w:t>
      </w:r>
    </w:p>
    <w:tbl>
      <w:tblPr>
        <w:tblStyle w:val="28"/>
        <w:tblW w:w="835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1"/>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6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CXRYSWXXB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车险人员伤亡信息表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1007</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本表报送车险案件中人员的损失信息。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6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伤亡人数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SWRS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指同一车险事故中，总伤残或死亡的人数。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死亡时间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若涉及人员死亡，填报人员死亡时间。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核定损失金额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HDSSJE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指核定损失人员根据实际情况评估核定的，对应该标的责任的损失金额（报送人民币）。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抢救垫付金额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QJDFJE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指机动车交通事故责任强制保险中，保险人在法律规定需垫付的情形下垫支的抢救费用金额(报送人民币)。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人伤核损总金额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RSHSZJE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指核定损失人员根据实际情况评估核定的人伤核损总金额。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死亡核损赔偿金额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SWHSPCJE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指核定损失人员根据实际情况评估核定的死亡核损赔偿金额。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伤残核损赔偿金额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SCHSPCJE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指核定损失人员根据实际情况评估核定的伤残核损赔偿金额。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核损医疗费</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HSYLF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指核定损失人员根据实际情况评估核定的核损医疗费。</w:t>
            </w:r>
          </w:p>
        </w:tc>
      </w:tr>
    </w:tbl>
    <w:p>
      <w:pPr>
        <w:pStyle w:val="44"/>
        <w:spacing w:line="560" w:lineRule="exact"/>
        <w:rPr>
          <w:rFonts w:ascii="Calibri" w:hAnsi="Calibri"/>
          <w:szCs w:val="22"/>
        </w:rPr>
      </w:pPr>
    </w:p>
    <w:p>
      <w:pPr>
        <w:pStyle w:val="6"/>
        <w:numPr>
          <w:ilvl w:val="0"/>
          <w:numId w:val="4"/>
        </w:numPr>
        <w:ind w:firstLine="600"/>
      </w:pPr>
      <w:r>
        <w:rPr>
          <w:rFonts w:hint="eastAsia"/>
        </w:rPr>
        <w:t>车险人员伤亡清单表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8"/>
        <w:gridCol w:w="1864"/>
        <w:gridCol w:w="819"/>
        <w:gridCol w:w="686"/>
        <w:gridCol w:w="686"/>
        <w:gridCol w:w="29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86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33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CXRYSWQDB</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车险人员伤亡清单表</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1008</w:t>
            </w:r>
          </w:p>
        </w:tc>
        <w:tc>
          <w:tcPr>
            <w:tcW w:w="433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本表报送车险案件中人员的伤亡清单信息。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86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8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8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96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伤亡人员编号</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SWRYBH</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指保险公司对同一赔案下的多个伤亡人员按一定规则生成的编号。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伤亡人员姓名</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SWRYXM</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指在事故中伤残或死亡的人员姓名。隐私，财产保险公司变形。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伤亡人员证件类型</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SWRYZJLX</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在事故中伤残或死亡的人员的证件类型，例如：居民身份证、机动车驾驶证等。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伤亡人员证件号码</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SWRYZJHM</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指在事故中伤残或死亡的人员证件类型对应的证件号码。隐私，财产保险公司变形。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伤亡类型</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SWLX</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010015</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在事故中伤残或死亡的人员的伤亡类型，填报中文说明。包括：</w:t>
            </w:r>
            <w:r>
              <w:rPr>
                <w:rFonts w:hint="eastAsia" w:ascii="宋体" w:hAnsi="宋体" w:cs="宋体"/>
                <w:color w:val="000000"/>
                <w:kern w:val="0"/>
                <w:szCs w:val="21"/>
              </w:rPr>
              <w:br w:type="textWrapping"/>
            </w:r>
            <w:r>
              <w:rPr>
                <w:rFonts w:hint="eastAsia" w:ascii="宋体" w:hAnsi="宋体" w:cs="宋体"/>
                <w:color w:val="000000"/>
                <w:kern w:val="0"/>
                <w:szCs w:val="21"/>
              </w:rPr>
              <w:t>伤残</w:t>
            </w:r>
            <w:r>
              <w:rPr>
                <w:rFonts w:hint="eastAsia" w:ascii="宋体" w:hAnsi="宋体" w:cs="宋体"/>
                <w:color w:val="000000"/>
                <w:kern w:val="0"/>
                <w:szCs w:val="21"/>
              </w:rPr>
              <w:br w:type="textWrapping"/>
            </w:r>
            <w:r>
              <w:rPr>
                <w:rFonts w:hint="eastAsia" w:ascii="宋体" w:hAnsi="宋体" w:cs="宋体"/>
                <w:color w:val="000000"/>
                <w:kern w:val="0"/>
                <w:szCs w:val="21"/>
              </w:rPr>
              <w:t>死亡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伤亡人员属性</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SWRYSX</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010019</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在事故中伤残或死亡的人员的属性，填报中文描述。包括：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本车驾驶员</w:t>
            </w:r>
            <w:r>
              <w:rPr>
                <w:rFonts w:hint="eastAsia" w:ascii="宋体" w:hAnsi="宋体" w:cs="宋体"/>
                <w:color w:val="000000"/>
                <w:kern w:val="0"/>
                <w:szCs w:val="21"/>
              </w:rPr>
              <w:br w:type="textWrapping"/>
            </w:r>
            <w:r>
              <w:rPr>
                <w:rFonts w:hint="eastAsia" w:ascii="宋体" w:hAnsi="宋体" w:cs="宋体"/>
                <w:color w:val="000000"/>
                <w:kern w:val="0"/>
                <w:szCs w:val="21"/>
              </w:rPr>
              <w:t>车外人员</w:t>
            </w:r>
            <w:r>
              <w:rPr>
                <w:rFonts w:hint="eastAsia" w:ascii="宋体" w:hAnsi="宋体" w:cs="宋体"/>
                <w:color w:val="000000"/>
                <w:kern w:val="0"/>
                <w:szCs w:val="21"/>
              </w:rPr>
              <w:br w:type="textWrapping"/>
            </w:r>
            <w:r>
              <w:rPr>
                <w:rFonts w:hint="eastAsia" w:ascii="宋体" w:hAnsi="宋体" w:cs="宋体"/>
                <w:color w:val="000000"/>
                <w:kern w:val="0"/>
                <w:szCs w:val="21"/>
              </w:rPr>
              <w:t>本车乘客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伤亡人员交通状态</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SWRYJTZT</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010014</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在事故中伤残或死亡的人员的交通状态，填报中文说明。包括：</w:t>
            </w:r>
            <w:r>
              <w:rPr>
                <w:rFonts w:hint="eastAsia" w:ascii="宋体" w:hAnsi="宋体" w:cs="宋体"/>
                <w:color w:val="000000"/>
                <w:kern w:val="0"/>
                <w:szCs w:val="21"/>
              </w:rPr>
              <w:br w:type="textWrapping"/>
            </w:r>
            <w:r>
              <w:rPr>
                <w:rFonts w:hint="eastAsia" w:ascii="宋体" w:hAnsi="宋体" w:cs="宋体"/>
                <w:color w:val="000000"/>
                <w:kern w:val="0"/>
                <w:szCs w:val="21"/>
              </w:rPr>
              <w:t>行驶</w:t>
            </w:r>
            <w:r>
              <w:rPr>
                <w:rFonts w:hint="eastAsia" w:ascii="宋体" w:hAnsi="宋体" w:cs="宋体"/>
                <w:color w:val="000000"/>
                <w:kern w:val="0"/>
                <w:szCs w:val="21"/>
              </w:rPr>
              <w:br w:type="textWrapping"/>
            </w:r>
            <w:r>
              <w:rPr>
                <w:rFonts w:hint="eastAsia" w:ascii="宋体" w:hAnsi="宋体" w:cs="宋体"/>
                <w:color w:val="000000"/>
                <w:kern w:val="0"/>
                <w:szCs w:val="21"/>
              </w:rPr>
              <w:t>停靠</w:t>
            </w:r>
            <w:r>
              <w:rPr>
                <w:rFonts w:hint="eastAsia" w:ascii="宋体" w:hAnsi="宋体" w:cs="宋体"/>
                <w:color w:val="000000"/>
                <w:kern w:val="0"/>
                <w:szCs w:val="21"/>
              </w:rPr>
              <w:br w:type="textWrapping"/>
            </w:r>
            <w:r>
              <w:rPr>
                <w:rFonts w:hint="eastAsia" w:ascii="宋体" w:hAnsi="宋体" w:cs="宋体"/>
                <w:color w:val="000000"/>
                <w:kern w:val="0"/>
                <w:szCs w:val="21"/>
              </w:rPr>
              <w:t>左转弯</w:t>
            </w:r>
            <w:r>
              <w:rPr>
                <w:rFonts w:hint="eastAsia" w:ascii="宋体" w:hAnsi="宋体" w:cs="宋体"/>
                <w:color w:val="000000"/>
                <w:kern w:val="0"/>
                <w:szCs w:val="21"/>
              </w:rPr>
              <w:br w:type="textWrapping"/>
            </w:r>
            <w:r>
              <w:rPr>
                <w:rFonts w:hint="eastAsia" w:ascii="宋体" w:hAnsi="宋体" w:cs="宋体"/>
                <w:color w:val="000000"/>
                <w:kern w:val="0"/>
                <w:szCs w:val="21"/>
              </w:rPr>
              <w:t>右转弯</w:t>
            </w:r>
            <w:r>
              <w:rPr>
                <w:rFonts w:hint="eastAsia" w:ascii="宋体" w:hAnsi="宋体" w:cs="宋体"/>
                <w:color w:val="000000"/>
                <w:kern w:val="0"/>
                <w:szCs w:val="21"/>
              </w:rPr>
              <w:br w:type="textWrapping"/>
            </w:r>
            <w:r>
              <w:rPr>
                <w:rFonts w:hint="eastAsia" w:ascii="宋体" w:hAnsi="宋体" w:cs="宋体"/>
                <w:color w:val="000000"/>
                <w:kern w:val="0"/>
                <w:szCs w:val="21"/>
              </w:rPr>
              <w:t>掉头</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受伤部位</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SSBW</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指在事故中伤残或死亡的人员的受伤部位。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伤情类别</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SQLB</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010016</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在事故中伤残或死亡的人员伤情类别，填报中文说明。包括：</w:t>
            </w:r>
            <w:r>
              <w:rPr>
                <w:rFonts w:hint="eastAsia" w:ascii="宋体" w:hAnsi="宋体" w:cs="宋体"/>
                <w:color w:val="000000"/>
                <w:kern w:val="0"/>
                <w:szCs w:val="21"/>
              </w:rPr>
              <w:br w:type="textWrapping"/>
            </w:r>
            <w:r>
              <w:rPr>
                <w:rFonts w:hint="eastAsia" w:ascii="宋体" w:hAnsi="宋体" w:cs="宋体"/>
                <w:color w:val="000000"/>
                <w:kern w:val="0"/>
                <w:szCs w:val="21"/>
              </w:rPr>
              <w:t>简易人伤</w:t>
            </w:r>
            <w:r>
              <w:rPr>
                <w:rFonts w:hint="eastAsia" w:ascii="宋体" w:hAnsi="宋体" w:cs="宋体"/>
                <w:color w:val="000000"/>
                <w:kern w:val="0"/>
                <w:szCs w:val="21"/>
              </w:rPr>
              <w:br w:type="textWrapping"/>
            </w:r>
            <w:r>
              <w:rPr>
                <w:rFonts w:hint="eastAsia" w:ascii="宋体" w:hAnsi="宋体" w:cs="宋体"/>
                <w:color w:val="000000"/>
                <w:kern w:val="0"/>
                <w:szCs w:val="21"/>
              </w:rPr>
              <w:t>伤残</w:t>
            </w:r>
            <w:r>
              <w:rPr>
                <w:rFonts w:hint="eastAsia" w:ascii="宋体" w:hAnsi="宋体" w:cs="宋体"/>
                <w:color w:val="000000"/>
                <w:kern w:val="0"/>
                <w:szCs w:val="21"/>
              </w:rPr>
              <w:br w:type="textWrapping"/>
            </w:r>
            <w:r>
              <w:rPr>
                <w:rFonts w:hint="eastAsia" w:ascii="宋体" w:hAnsi="宋体" w:cs="宋体"/>
                <w:color w:val="000000"/>
                <w:kern w:val="0"/>
                <w:szCs w:val="21"/>
              </w:rPr>
              <w:t>死亡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伤残程度</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SCCD</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010017</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在事故中伤残或死亡的人员伤残程度，对应《业务代码表》中的“伤残程度”。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伤亡人员医疗类型</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SWRYYLLX</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010018</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在事故中伤残或死亡的人员的医疗类型，填报中文描述。包括：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门诊</w:t>
            </w:r>
            <w:r>
              <w:rPr>
                <w:rFonts w:hint="eastAsia" w:ascii="宋体" w:hAnsi="宋体" w:cs="宋体"/>
                <w:color w:val="000000"/>
                <w:kern w:val="0"/>
                <w:szCs w:val="21"/>
              </w:rPr>
              <w:br w:type="textWrapping"/>
            </w:r>
            <w:r>
              <w:rPr>
                <w:rFonts w:hint="eastAsia" w:ascii="宋体" w:hAnsi="宋体" w:cs="宋体"/>
                <w:color w:val="000000"/>
                <w:kern w:val="0"/>
                <w:szCs w:val="21"/>
              </w:rPr>
              <w:t>住院</w:t>
            </w:r>
            <w:r>
              <w:rPr>
                <w:rFonts w:hint="eastAsia" w:ascii="宋体" w:hAnsi="宋体" w:cs="宋体"/>
                <w:color w:val="000000"/>
                <w:kern w:val="0"/>
                <w:szCs w:val="21"/>
              </w:rPr>
              <w:br w:type="textWrapping"/>
            </w:r>
            <w:r>
              <w:rPr>
                <w:rFonts w:hint="eastAsia" w:ascii="宋体" w:hAnsi="宋体" w:cs="宋体"/>
                <w:color w:val="000000"/>
                <w:kern w:val="0"/>
                <w:szCs w:val="21"/>
              </w:rPr>
              <w:t>死亡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医疗机构名称</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YLJGMC</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指在事故中伤残或死亡的人员就诊医疗机构的名称。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入院时间</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RYSJ</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指受伤人员入院时间。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出院时间</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CYSJ</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指受伤人员出院时间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医疗审核人员姓名</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YLSHRYXM</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指医疗审核人员姓名。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医疗审核人员身份证号码</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YLSHRYSFZHM</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指医疗审核人员身份证号码。隐私，财产保险公司变形。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首次伤残鉴定机构名称</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SCSCJDJGMC</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指首次伤残鉴定机构名称。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鉴定人姓名</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JDRXM</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指鉴定人姓名。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鉴定人身份证号码</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JDRSFZHM</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指鉴定人身份证号码。隐私，财产保险公司变形。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鉴定伤残程度</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JDSCCD</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010017</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经鉴定，在事故中伤残或死亡的人员伤残程度的，对应《业务代码表》中的“伤残程度”。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案件代理人姓名</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AJDLRXM</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指案件代理人姓名。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代理人所属机构名称</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DLRSSJGMC</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指代理人所属机构名称。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异地鉴定标志</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YDJDBZ</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是否为异地鉴定。填报中文描述：是、否。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多处伤残标志</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DCSCBZ</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是否为多处伤残。填报中文描述：是、否。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重新鉴定标志</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CXJDBZ</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是否为重新鉴定的结果。填报中文描述：是、否。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重新鉴定和原鉴定结果一致标志</w:t>
            </w:r>
          </w:p>
        </w:tc>
        <w:tc>
          <w:tcPr>
            <w:tcW w:w="1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CXJDHYJDJGYZBZ</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重新鉴定和原鉴定结果是否一致。填报中文描述：是、否。</w:t>
            </w:r>
          </w:p>
        </w:tc>
      </w:tr>
    </w:tbl>
    <w:p>
      <w:pPr>
        <w:pStyle w:val="44"/>
        <w:spacing w:line="560" w:lineRule="exact"/>
        <w:rPr>
          <w:szCs w:val="22"/>
        </w:rPr>
      </w:pPr>
    </w:p>
    <w:p>
      <w:pPr>
        <w:pStyle w:val="4"/>
      </w:pPr>
      <w:bookmarkStart w:id="57" w:name="_Toc10805"/>
      <w:bookmarkStart w:id="58" w:name="_Toc2141500225"/>
      <w:r>
        <w:rPr>
          <w:rFonts w:hint="eastAsia"/>
        </w:rPr>
        <w:t>农险专项信息</w:t>
      </w:r>
      <w:bookmarkEnd w:id="57"/>
      <w:bookmarkEnd w:id="58"/>
    </w:p>
    <w:p>
      <w:pPr>
        <w:pStyle w:val="51"/>
        <w:numPr>
          <w:ilvl w:val="0"/>
          <w:numId w:val="16"/>
        </w:numPr>
      </w:pPr>
      <w:r>
        <w:rPr>
          <w:rFonts w:hint="eastAsia"/>
        </w:rPr>
        <w:t>农险保单扩展信息表</w:t>
      </w:r>
    </w:p>
    <w:tbl>
      <w:tblPr>
        <w:tblStyle w:val="28"/>
        <w:tblW w:w="837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85"/>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8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NXBDKZXXB</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农险保单扩展信息表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1101</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本表报送农险保单扩展信息，包括农险特有的投保方式、经营模式信息，以及补贴信息、产量价格信息等。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8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投保组织者编号</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TBZZZBH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投保组织者在保险公司的唯一标识。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参保农户户次</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CBNHHC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保险公司签发的保险单中载明农户户次的总和。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见费出单标志</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JFCDBZ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本保单是否见费出单。其中，见费出单指保险人实际收到投保人的全额或首期保费后，出具的正式的保单或批单。填报中文描述：是，否。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农险投保方式</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NXTBFS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根据被保险人是单一个体还是多个个体所划分的保单性质，填报中文描述。包括：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个体投保</w:t>
            </w:r>
            <w:r>
              <w:rPr>
                <w:rFonts w:hint="eastAsia" w:ascii="宋体" w:hAnsi="宋体" w:cs="宋体"/>
                <w:color w:val="000000"/>
                <w:kern w:val="0"/>
                <w:szCs w:val="21"/>
              </w:rPr>
              <w:br w:type="textWrapping"/>
            </w:r>
            <w:r>
              <w:rPr>
                <w:rFonts w:hint="eastAsia" w:ascii="宋体" w:hAnsi="宋体" w:cs="宋体"/>
                <w:color w:val="000000"/>
                <w:kern w:val="0"/>
                <w:szCs w:val="21"/>
              </w:rPr>
              <w:t>集体投保</w:t>
            </w:r>
            <w:r>
              <w:rPr>
                <w:rFonts w:hint="eastAsia" w:ascii="宋体" w:hAnsi="宋体" w:cs="宋体"/>
                <w:color w:val="000000"/>
                <w:kern w:val="0"/>
                <w:szCs w:val="21"/>
              </w:rPr>
              <w:br w:type="textWrapping"/>
            </w:r>
            <w:r>
              <w:rPr>
                <w:rFonts w:hint="eastAsia" w:ascii="宋体" w:hAnsi="宋体" w:cs="宋体"/>
                <w:color w:val="000000"/>
                <w:kern w:val="0"/>
                <w:szCs w:val="21"/>
              </w:rPr>
              <w:t>法人投保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投保行政区划</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TBXZQH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保单投保的标的地址的行政区划，对应《业务代码表》中的“县及县以上行政区划”，填报中文描述。例如：北京市东城区、天津市和平区、河北省石家庄市长安区等。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投保标的详细地址</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TBBDXXDZ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投保标的的座落地点，具体描述为：XX县（区）XX乡镇XX行政村。必须到行政村。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农险经营模式</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NXJYMS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保险公司农业保险业务的经营模式，填报中文描述。包括：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自办</w:t>
            </w:r>
            <w:r>
              <w:rPr>
                <w:rFonts w:hint="eastAsia" w:ascii="宋体" w:hAnsi="宋体" w:cs="宋体"/>
                <w:color w:val="000000"/>
                <w:kern w:val="0"/>
                <w:szCs w:val="21"/>
              </w:rPr>
              <w:br w:type="textWrapping"/>
            </w:r>
            <w:r>
              <w:rPr>
                <w:rFonts w:hint="eastAsia" w:ascii="宋体" w:hAnsi="宋体" w:cs="宋体"/>
                <w:color w:val="000000"/>
                <w:kern w:val="0"/>
                <w:szCs w:val="21"/>
              </w:rPr>
              <w:t>共保</w:t>
            </w:r>
            <w:r>
              <w:rPr>
                <w:rFonts w:hint="eastAsia" w:ascii="宋体" w:hAnsi="宋体" w:cs="宋体"/>
                <w:color w:val="000000"/>
                <w:kern w:val="0"/>
                <w:szCs w:val="21"/>
              </w:rPr>
              <w:br w:type="textWrapping"/>
            </w:r>
            <w:r>
              <w:rPr>
                <w:rFonts w:hint="eastAsia" w:ascii="宋体" w:hAnsi="宋体" w:cs="宋体"/>
                <w:color w:val="000000"/>
                <w:kern w:val="0"/>
                <w:szCs w:val="21"/>
              </w:rPr>
              <w:t>联办</w:t>
            </w:r>
            <w:r>
              <w:rPr>
                <w:rFonts w:hint="eastAsia" w:ascii="宋体" w:hAnsi="宋体" w:cs="宋体"/>
                <w:color w:val="000000"/>
                <w:kern w:val="0"/>
                <w:szCs w:val="21"/>
              </w:rPr>
              <w:br w:type="textWrapping"/>
            </w:r>
            <w:r>
              <w:rPr>
                <w:rFonts w:hint="eastAsia" w:ascii="宋体" w:hAnsi="宋体" w:cs="宋体"/>
                <w:color w:val="000000"/>
                <w:kern w:val="0"/>
                <w:szCs w:val="21"/>
              </w:rPr>
              <w:t>代办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农险业务类型</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NXYWLX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根据农业保险是否接受各级政府财政保费补贴划分，填报中文描述。包括：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中央财政补贴型</w:t>
            </w:r>
            <w:r>
              <w:rPr>
                <w:rFonts w:hint="eastAsia" w:ascii="宋体" w:hAnsi="宋体" w:cs="宋体"/>
                <w:color w:val="000000"/>
                <w:kern w:val="0"/>
                <w:szCs w:val="21"/>
              </w:rPr>
              <w:br w:type="textWrapping"/>
            </w:r>
            <w:r>
              <w:rPr>
                <w:rFonts w:hint="eastAsia" w:ascii="宋体" w:hAnsi="宋体" w:cs="宋体"/>
                <w:color w:val="000000"/>
                <w:kern w:val="0"/>
                <w:szCs w:val="21"/>
              </w:rPr>
              <w:t>地方财政补贴型</w:t>
            </w:r>
            <w:r>
              <w:rPr>
                <w:rFonts w:hint="eastAsia" w:ascii="宋体" w:hAnsi="宋体" w:cs="宋体"/>
                <w:color w:val="000000"/>
                <w:kern w:val="0"/>
                <w:szCs w:val="21"/>
              </w:rPr>
              <w:br w:type="textWrapping"/>
            </w:r>
            <w:r>
              <w:rPr>
                <w:rFonts w:hint="eastAsia" w:ascii="宋体" w:hAnsi="宋体" w:cs="宋体"/>
                <w:color w:val="000000"/>
                <w:kern w:val="0"/>
                <w:szCs w:val="21"/>
              </w:rPr>
              <w:t>商业性农险业务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验标标志</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YBBZ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农业保险保单承保时是否对标的进行过实地验标，填报中文描述：是，否。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承保公示标志</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CBGSBZ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农业保险的投保情况是否已进行过公示，填报中文描述：是，否。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承保公示开始时间</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CBGSKSSJ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农险投保方式为集体投保时，必填。农业保险承保公示的开始时间。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承保公示结束时间</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CBGSJSSJ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农险投保方式为集体投保时，必填。农业保险承保公示的结束时间。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中央财政补贴系数</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ZYCZBTXS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农业保险合同中中央政府财政补贴的签单保费系数。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省财政补贴系数</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SCZBTXS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农业保险合同中省级政府财政补贴的签单保费系数。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市财政补贴系数</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SCZBTXS1</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农业保险合同中市级政府财政补贴的签单保费系数。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县财政补贴系数</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XCZBTXS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农业保险合同中县级政府财政补贴的签单保费系数。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个人自缴系数</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GRZJXS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农业保险合同中投保人（即农户）自行承担的签单保费系数。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其他补贴系数</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QTBTXS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农业保险合同中其他（除中央、省级、市级、县区级财政和农户自行承担）来源补贴的签单保费系数。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中央财政补贴签单保费</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ZYCZBTQDBF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农业保险合同中中央政府财政补贴的签单保费。中央财政补贴签单保费=签单保费×中央财政补贴系数。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省财政补贴签单保费</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SCZBTQDBF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农业保险合同中省级政府财政补贴的签单保费。省财政补贴签单保费=签单保费×省财政补贴系数。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市财政补贴签单保费</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SCZBTQDBF1</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农业保险合同中市级政府财政补贴的签单保费。市财政补贴签单保费=签单保费×市财政补贴系数。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县财政补贴签单保费</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XCZBTQDBF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农业保险合同中区县级财政补贴的签单保费。县财政补贴签单保费=签单保费×县财政补贴系数。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其他补贴签单保费</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QTBTQDBF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农业保险合同中其他（除中央、省级、市级、县区级财政和农户自行承担）来源补贴的签单保费系数。其他补贴签单保费=签单保费×其他补贴系数。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个人自缴签单保费</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GRZJQDBF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农业保险合同中投保人（即农户）自行承担的签单保费。个人自缴签单保费=签单保费×个人自缴系数。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数量单位</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SLDW</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描述标的数量时所采用的数学方面或物理方面计量事物的标准量的名称，对应《业务代码表》中的“数量单位”，填报中文描述。例如：吨、亩、头等。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保险产量</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BXCL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农险产品类型为价格保险、产量保险、收入保险（一级分类）时，必填。保险合同约定的单位面积产量，单位：千克/亩。参照承保当地统计部门公布的连续数年平均产量，由保险人与被保险人协商确定。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目标价格</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MBJG</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农险产品类型为价格保险、收入保险（一级分类）时，必填。保险合同约定的农产品单位价格，单位：元/千克或元/亩。参照订单单价或者当地平均收购单价，由保险人与被保险人协商确定。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农险产品类型</w:t>
            </w:r>
          </w:p>
        </w:tc>
        <w:tc>
          <w:tcPr>
            <w:tcW w:w="14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NXCPLX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照农业保险经营经验及发展趋势，对产品进行的初步分类，险类为农险时，必填。按最细粒度（有二级分类上报一至二级分类）上报，对应《业务代码表》中的“农险产品类型”，填报中文描述。例如：成本保险-直接物化成本保险（基本险）。</w:t>
            </w:r>
          </w:p>
        </w:tc>
      </w:tr>
    </w:tbl>
    <w:p>
      <w:pPr>
        <w:pStyle w:val="44"/>
        <w:spacing w:line="560" w:lineRule="exact"/>
        <w:rPr>
          <w:szCs w:val="22"/>
        </w:rPr>
      </w:pPr>
    </w:p>
    <w:p>
      <w:pPr>
        <w:pStyle w:val="6"/>
        <w:numPr>
          <w:ilvl w:val="0"/>
          <w:numId w:val="4"/>
        </w:numPr>
        <w:ind w:firstLine="600"/>
      </w:pPr>
      <w:r>
        <w:rPr>
          <w:rFonts w:hint="eastAsia"/>
        </w:rPr>
        <w:t>农险投保组织者信息表</w:t>
      </w:r>
    </w:p>
    <w:tbl>
      <w:tblPr>
        <w:tblStyle w:val="28"/>
        <w:tblW w:w="839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NXTBZZZXXB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农险投保组织者信息表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1102</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本表报送集农险投保组织者相关信息。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投保组织者编号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TBZZZBH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投保组织者在保险公司的唯一标识。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投保组织者名称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TBZZZMC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投保组织者的名称。如投保组织者为自然人，隐私，财产保险公司变形。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投保组织者证件类型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TBZZZZJLX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投保组织者证件类型优先填报统一社会信用代码，对应《业务代码表》中的“机构证件类型”，填报中文描述。例如：统一社会信用代码、组织机构代码证等。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投保组织者证件号码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TBZZZZJHM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投保组织者的证件号码。若为自然人证件号码，隐私，财产保险公司变形。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联系人名称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LXRMC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联系人的名称。隐私，财产保险公司变形。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联系人电话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LXRDH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联系人的电话号码。隐私，暂不取，保险公司需在本地保留原文数据，并报送“隐私”。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投保组织者地址</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TBZZZDZ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投保组织者的地址。</w:t>
            </w:r>
          </w:p>
        </w:tc>
      </w:tr>
    </w:tbl>
    <w:p>
      <w:pPr>
        <w:pStyle w:val="44"/>
        <w:spacing w:line="560" w:lineRule="exact"/>
        <w:rPr>
          <w:szCs w:val="22"/>
        </w:rPr>
      </w:pPr>
    </w:p>
    <w:p>
      <w:pPr>
        <w:pStyle w:val="6"/>
        <w:numPr>
          <w:ilvl w:val="0"/>
          <w:numId w:val="4"/>
        </w:numPr>
        <w:ind w:firstLine="600"/>
      </w:pPr>
      <w:r>
        <w:rPr>
          <w:rFonts w:hint="eastAsia"/>
        </w:rPr>
        <w:t>种植险分户标的信息表</w:t>
      </w:r>
    </w:p>
    <w:tbl>
      <w:tblPr>
        <w:tblStyle w:val="28"/>
        <w:tblW w:w="842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ZZXFHBDXXB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种植险分户标的信息表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1103</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本表报送种植险承保的分户信息和标的信息。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农业主体类型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NYZTLX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农业险保单上被保险人的农业主体类型，对应《业务代码表》中“农业主体类型”，填报中文描述。例如：普通农户、家庭农场、集体农业企业等。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农业保险中农户分户的名称。需包含于承保农户分户清单信息内。如农户为自然人，隐私，财产保险公司变形。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机构农户标志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JGNHBZ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农户是否为机构的标志。填报中文描述：是，否。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机构农户证件类型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JGNHZJLX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农户为非自然人时，必填。机构农户证件类型优先填报统一社会信用代码，对应《业务代码表》中的“机构证件类型”，填报中文描述。例如：统一社会信用代码、组织机构代码证等。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个人农户证件类型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GRNHZJLX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农户为自然人时，必填。个人农户证件类型，对应《业务代码表》中的“个人身份证件类型”，填报中文描述。例如：居民身份证、军人身份证件、护照、出生医学证明等。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农户证件号码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NHZJHM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农户的证件号码。若为自然人证件号码，隐私，财产保险公司变形。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农户联系电话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NHLXDH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农业保险中农户分户的联系电话。需包含于承保农户分户清单信息内。隐私，暂不取，保险公司需在本地保留原文数据，并报送“隐私”。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保单下标的序号，不同农户下的同一标的顺序+1，保单下唯一。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农险标的</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NXBD</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农业保险标的，对应《业务代码表》中的“农险标的分类”，填报中文描述。例如：水稻、冬小麦、大麦等。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地块名称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种植险保单标的地块的名称或俗称。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地块实际面积</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DKSJMJ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种植险保单标的地块的实际面积。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农业用地分类</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NYYDFL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农业保险保单标的的农业用地地块的分类，对应《业务代码表》中的“农用地分类”，填报中文描述。例如：水田、水浇地、旱地、果园等。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经度起始值</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JDQSZ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地块坐标（精度：度、分、秒，一般秒保持2位小数），转换为以度为单位的数值。经度起始值、经度终止值、纬度起始值、纬度终止值需同时有值或同时留空，不能只填部分值。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经度终止值</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JDZZZ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地块坐标（精度：度、分、秒，一般秒保持2位小数），转换为以度为单位的数值。经度起始值、经度终止值、纬度起始值、纬度终止值需同时有值或同时留空，不能只填部分值。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纬度起始值</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WDQSZ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地块坐标（精度：度、分、秒，一般秒保持2位小数），转换为以度为单位的数值。经度起始值、经度终止值、纬度起始值、纬度终止值需同时有值或同时留空，不能只填部分值。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纬度终止值</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WDZZZ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地块坐标（精度：度、分、秒，一般秒保持2位小数），转换为以度为单位的数值。经度起始值、经度终止值、纬度起始值、纬度终止值需同时有值或同时留空，不能只填部分值。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承保面积</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CBMJ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农险保单分户清单上对应承保标的的数量。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数量单位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SLDW</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描述标的数量时所采用的数学方面或物理方面计量事物的标准量的名称，对应《业务代码表》中的“数量单位”，填报中文描述。例如：吨、亩、头等。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保费</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农险保单分户清单上所对应农户标的的保费。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个人自缴保费</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GRZJBF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农险保单分户清单上所对应农户标的的由农民实际缴纳的保费。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又称保额，是指农险保单分户清单上所对应农户的标的的保险金额。</w:t>
            </w:r>
          </w:p>
        </w:tc>
      </w:tr>
    </w:tbl>
    <w:p>
      <w:pPr>
        <w:pStyle w:val="44"/>
        <w:spacing w:line="560" w:lineRule="exact"/>
        <w:rPr>
          <w:szCs w:val="22"/>
        </w:rPr>
      </w:pPr>
    </w:p>
    <w:p>
      <w:pPr>
        <w:pStyle w:val="6"/>
        <w:numPr>
          <w:ilvl w:val="0"/>
          <w:numId w:val="4"/>
        </w:numPr>
        <w:ind w:firstLine="600"/>
      </w:pPr>
      <w:r>
        <w:rPr>
          <w:rFonts w:hint="eastAsia"/>
        </w:rPr>
        <w:t>养殖险分户标的信息表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1437"/>
        <w:gridCol w:w="844"/>
        <w:gridCol w:w="719"/>
        <w:gridCol w:w="719"/>
        <w:gridCol w:w="3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5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9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YZXFHBDXXB</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养殖险分户标的信息表</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1104</w:t>
            </w:r>
          </w:p>
        </w:tc>
        <w:tc>
          <w:tcPr>
            <w:tcW w:w="459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本表报送养殖险承保分户信息和标的信息。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5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农户名称</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NHMC</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农业保险中农户分户的名称。需包含于承保农户分户清单信息内。如农户为自然人，隐私，财产保险公司变形。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机构农户标志</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JGNHBZ</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农户是否为机构的标志。填报中文描述：是，否。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机构农户证件类型</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JGNHZJLX</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农户为机构时，必填。机构农户证件类型优先填报统一社会信用代码，对应《业务代码表》中的“机构证件类型”，填报中文描述。例如：统一社会信用代码、组织机构代码证等。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个人农户证件类型</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GRNHZJLX</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农户为自然人时，必填。个人农户证件类型，对应《业务代码表》中的“个人身份证件类型”，填报中文描述。例如：居民身份证、军人身份证件、护照、出生医学证明等。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农户证件号码</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NHZJHM</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农户的证件号码。若为自然人证件号码，隐私，财产保险公司变形。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农户联系电话</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NHLXDH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农业保险中农户分户的联系电话。需包含于承保农户分户清单信息内。隐私，暂不取，保险公司需在本地保留原文数据，并报送“隐私”。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保单下标的序号，不同农户下的同一标的顺序+1，保单下唯一。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耳标编号</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EBBH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耳标编号是指养殖业保险标的的耳标号码，猪、牛等大牲畜适用。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养殖方式</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YZFS</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011008</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养殖方式，填报中文描述。包括：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规模养殖</w:t>
            </w:r>
            <w:r>
              <w:rPr>
                <w:rFonts w:hint="eastAsia" w:ascii="宋体" w:hAnsi="宋体" w:cs="宋体"/>
                <w:color w:val="000000"/>
                <w:kern w:val="0"/>
                <w:szCs w:val="21"/>
              </w:rPr>
              <w:br w:type="textWrapping"/>
            </w:r>
            <w:r>
              <w:rPr>
                <w:rFonts w:hint="eastAsia" w:ascii="宋体" w:hAnsi="宋体" w:cs="宋体"/>
                <w:color w:val="000000"/>
                <w:kern w:val="0"/>
                <w:szCs w:val="21"/>
              </w:rPr>
              <w:t>散养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养殖用途</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YZYT</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011009</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养殖业保险标的的养殖用途，猪、牛等大牲畜适用，填报中文描述。包括：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役用</w:t>
            </w:r>
            <w:r>
              <w:rPr>
                <w:rFonts w:hint="eastAsia" w:ascii="宋体" w:hAnsi="宋体" w:cs="宋体"/>
                <w:color w:val="000000"/>
                <w:kern w:val="0"/>
                <w:szCs w:val="21"/>
              </w:rPr>
              <w:br w:type="textWrapping"/>
            </w:r>
            <w:r>
              <w:rPr>
                <w:rFonts w:hint="eastAsia" w:ascii="宋体" w:hAnsi="宋体" w:cs="宋体"/>
                <w:color w:val="000000"/>
                <w:kern w:val="0"/>
                <w:szCs w:val="21"/>
              </w:rPr>
              <w:t>种用</w:t>
            </w:r>
            <w:r>
              <w:rPr>
                <w:rFonts w:hint="eastAsia" w:ascii="宋体" w:hAnsi="宋体" w:cs="宋体"/>
                <w:color w:val="000000"/>
                <w:kern w:val="0"/>
                <w:szCs w:val="21"/>
              </w:rPr>
              <w:br w:type="textWrapping"/>
            </w:r>
            <w:r>
              <w:rPr>
                <w:rFonts w:hint="eastAsia" w:ascii="宋体" w:hAnsi="宋体" w:cs="宋体"/>
                <w:color w:val="000000"/>
                <w:kern w:val="0"/>
                <w:szCs w:val="21"/>
              </w:rPr>
              <w:t>肉用</w:t>
            </w:r>
            <w:r>
              <w:rPr>
                <w:rFonts w:hint="eastAsia" w:ascii="宋体" w:hAnsi="宋体" w:cs="宋体"/>
                <w:color w:val="000000"/>
                <w:kern w:val="0"/>
                <w:szCs w:val="21"/>
              </w:rPr>
              <w:br w:type="textWrapping"/>
            </w:r>
            <w:r>
              <w:rPr>
                <w:rFonts w:hint="eastAsia" w:ascii="宋体" w:hAnsi="宋体" w:cs="宋体"/>
                <w:color w:val="000000"/>
                <w:kern w:val="0"/>
                <w:szCs w:val="21"/>
              </w:rPr>
              <w:t>其他用途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标的品种</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BDPZ</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投保标的所属的品种，如荷斯坦牛。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承保数量</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CBSL</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农险保单分户清单上对应承保标的的数量。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饲养数量</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SYSL</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承保标的农户总饲养数量。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农险标的</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NXBD</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011006</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农业保险标的，对应《业务代码表》中的“农险标的分类”，填报中文描述。例如：奶牛、肉牛、能繁母猪等。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标的地址</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BDDZ</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养殖业保险标的饲养所在地的地址。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经度起始值</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JDQSZ</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001011</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养殖场坐标（精度：度、分、秒，一般秒保持2位小数），转换为以度为单位的数值。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经度终止值</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JDZZZ</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001011</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养殖场坐标（精度：度、分、秒，一般秒保持2位小数），转换为以度为单位的数值。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纬度起始值</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WDQSZ</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001011</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养殖场坐标（精度：度、分、秒，一般秒保持2位小数），转换为以度为单位的数值。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纬度终止值</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WDZZZ</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001011</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养殖场坐标（精度：度、分、秒，一般秒保持2位小数），转换为以度为单位的数值。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数量单位</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SLDW</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001009</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描述标的数量时所采用的数学方面或物理方面计量事物的标准量的名称，对应《业务代码表》中的“数量单位”，填报中文描述。例如：吨、亩、头等。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保费</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BF</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农险保单分户清单上所对应农户标的的保费。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个人自缴保费</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GRZJBF</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农险保单分户清单上所对应农户标的的由农民实际缴纳的保费。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又称保额，是指农险保单分户清单上所对应农户的标的的保险金额。</w:t>
            </w:r>
          </w:p>
        </w:tc>
      </w:tr>
    </w:tbl>
    <w:p>
      <w:pPr>
        <w:pStyle w:val="44"/>
        <w:spacing w:line="560" w:lineRule="exact"/>
        <w:rPr>
          <w:szCs w:val="22"/>
        </w:rPr>
      </w:pPr>
    </w:p>
    <w:p>
      <w:pPr>
        <w:pStyle w:val="6"/>
        <w:numPr>
          <w:ilvl w:val="0"/>
          <w:numId w:val="4"/>
        </w:numPr>
        <w:ind w:firstLine="600"/>
      </w:pPr>
      <w:r>
        <w:rPr>
          <w:rFonts w:hint="eastAsia"/>
        </w:rPr>
        <w:t>林业险分户标的信息表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0"/>
        <w:gridCol w:w="1437"/>
        <w:gridCol w:w="844"/>
        <w:gridCol w:w="719"/>
        <w:gridCol w:w="719"/>
        <w:gridCol w:w="3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5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9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LYXFHBDXXB</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林业险分户标的信息表</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1105</w:t>
            </w:r>
          </w:p>
        </w:tc>
        <w:tc>
          <w:tcPr>
            <w:tcW w:w="459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本表报送林业险承保分户信息和标的信息。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5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农户名称</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NHMC</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农业保险中农户分户的名称。需包含于承保农户分户清单信息内。如农户为自然人，隐私，财产保险公司变形。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机构农户标志</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JGNHBZ</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农户是否为机构的标志。填报中文描述：是，否。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机构农户证件类型</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JGNHZJLX</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农户为非自然人时，必填。机构农户证件类型优先填报统一社会信用代码，对应《业务代码表》中的“机构证件类型”，填报中文描述。例如：统一社会信用代码、组织机构代码证等。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个人农户证件类型</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GRNHZJLX</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农户为自然人时，必填。个人农户证件类型，对应《业务代码表》中的“个人身份证件类型”，填报中文描述。例如：居民身份证、军人身份证件、护照、出生医学证明等。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农户证件号码</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NHZJHM</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农户的证件号码。若为自然人证件号码，隐私，财产保险公司变形。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农户联系电话</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NHLXDH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农业保险中农户分户的联系电话。需包含于承保农户分户清单信息内。隐私，暂不取，保险公司需在本地保留原文数据，并报送“隐私”。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承保面积</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CBMJ</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001010</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农险保单分户清单上对应承保标的的面积。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保单下标的序号，不同农户下的同一标的顺序+1，保单下唯一。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农险标的</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NXBD</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011006</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农业保险标的，对应《业务代码表》中的“农险标的分类”，填报中文描述。例如：苗圃林、公益林、商品林等。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林地编号</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LDBH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保险公司根据业务管理的需要对林地编制的统一的编号。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林权证号</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LQZH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011007</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县级以上人民政府或国务院林业主管部门颁发的，确认森林、林木和林地权属的证书编号。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林地地址</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LDDZ</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又称林地位置，是指根据林权证中约定的内容所确定的林地位置的地址。如有林权证，应按照林权证的规范记录；如没有林权证，可记录俗称。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林班号</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LBH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林班是林场内具有永久性经营管理的土地区划单位，这里指林班号码。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经度起始值</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JDQSZ</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001011</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林地坐标（精度：度、分、秒，一般秒保持2位小数），转换为以度为单位的数值。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经度终止值</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JDZZZ</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001011</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林地坐标（精度：度、分、秒，一般秒保持2位小数），转换为以度为单位的数值。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纬度起始值</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WDQSZ</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001011</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林地坐标（精度：度、分、秒，一般秒保持2位小数），转换为以度为单位的数值。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纬度终止值</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WDZZZ</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001011</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林地坐标（精度：度、分、秒，一般秒保持2位小数），转换为以度为单位的数值。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林地面积</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LDMJ</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001010</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标的林地的面积，单位为亩。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公益林标志</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GYLBZ</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按林地功能分类，是否为公益林。填报中文描述：是，否。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数量单位</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SLDW</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001009</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描述标的数量时所采用的数学方面或物理方面计量事物的标准量的名称，对应《业务代码表》中的“数量单位”，填报中文描述。例如：吨、亩、头等。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保费</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BF</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农险保单分户清单上所对应农户标的的保费。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个人自缴保费</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GRZJBF</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农险保单分户清单上所对应农户标的的由农民实际缴纳的保费。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保险金额</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BXJE</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又称保额，是指农险保单分户清单上所对应农户的标的的保险金额。</w:t>
            </w:r>
          </w:p>
        </w:tc>
      </w:tr>
    </w:tbl>
    <w:p>
      <w:pPr>
        <w:pStyle w:val="44"/>
        <w:spacing w:line="560" w:lineRule="exact"/>
        <w:rPr>
          <w:szCs w:val="22"/>
        </w:rPr>
      </w:pPr>
    </w:p>
    <w:p>
      <w:pPr>
        <w:pStyle w:val="6"/>
        <w:numPr>
          <w:ilvl w:val="0"/>
          <w:numId w:val="4"/>
        </w:numPr>
        <w:ind w:firstLine="600"/>
      </w:pPr>
      <w:r>
        <w:rPr>
          <w:rFonts w:hint="eastAsia"/>
        </w:rPr>
        <w:t>农险赔案扩展信息表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NXPAKZXXB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农险赔案扩展信息表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1106</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本表报送农险赔案相关扩展信息，包括理赔公示信息、无害化处理信息、实际价格信息等。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受益农户户次</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SYNHHC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理赔受益的农户户次数量。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理赔公示标志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LPGSBZ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保险公司是否将查勘定损结果、理赔结果在村级或农业生产经营组织公共区域进行不少于三天的公示。填报中文描述：是，否。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理赔公示开始时间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LPGSKSSJ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农业保险理赔公示的结束时间。农业生产经营组织、村民委员会等组织农户投保种植业保险的，必填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理赔公示结束时间</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LPGSJSSJ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农业保险理赔公示的结束时间。农业生产经营组织、村民委员会等组织农户投保种植业保险的，必填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涉诉标志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是否仅针对被保险人和第三者发起的诉讼。填报中文描述：是，否。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无害化处理标志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WHHCLBZ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养殖户是否依照国家规定对病死标的进行无害化处理。填报中文描述：是，否。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理赔金额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LPJE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赔案实际赔付总金额，即已决案件扣除预付金额后的应理赔金额。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数量单位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SLDW</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描述标的数量时所采用的数学方面或物理方面计量事物的标准量的名称，对应《业务代码表》中的“数量单位”，填报中文描述。例如：吨、亩、头等。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赔付数量</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PFSL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已决赔付数量。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实际价格</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SJJG</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农险产品类型为价格保险、收入保险（一级分类）时，必填。理赔时农产品的单位价格，以当地政府价格主管部门或农牧部门发布的价格为准，单位：元/千克或元/立方。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农险投保方式</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NXTBFS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根据被保险人是单一个体还是多个个体所划分的保单性质，填报中文描述。包括：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个体投保</w:t>
            </w:r>
            <w:r>
              <w:rPr>
                <w:rFonts w:hint="eastAsia" w:ascii="宋体" w:hAnsi="宋体" w:cs="宋体"/>
                <w:color w:val="000000"/>
                <w:kern w:val="0"/>
                <w:szCs w:val="21"/>
              </w:rPr>
              <w:br w:type="textWrapping"/>
            </w:r>
            <w:r>
              <w:rPr>
                <w:rFonts w:hint="eastAsia" w:ascii="宋体" w:hAnsi="宋体" w:cs="宋体"/>
                <w:color w:val="000000"/>
                <w:kern w:val="0"/>
                <w:szCs w:val="21"/>
              </w:rPr>
              <w:t>集体投保</w:t>
            </w:r>
            <w:r>
              <w:rPr>
                <w:rFonts w:hint="eastAsia" w:ascii="宋体" w:hAnsi="宋体" w:cs="宋体"/>
                <w:color w:val="000000"/>
                <w:kern w:val="0"/>
                <w:szCs w:val="21"/>
              </w:rPr>
              <w:br w:type="textWrapping"/>
            </w:r>
            <w:r>
              <w:rPr>
                <w:rFonts w:hint="eastAsia" w:ascii="宋体" w:hAnsi="宋体" w:cs="宋体"/>
                <w:color w:val="000000"/>
                <w:kern w:val="0"/>
                <w:szCs w:val="21"/>
              </w:rPr>
              <w:t>法人投保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农险产品类型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NXCPLX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照农业保险经营经验及发展趋势，对产品进行的初步分类，险类为农险时，必填。按最细粒度（有二级分类上报一至二级分类）上报，对应《业务代码表》中的“农险产品类型”，填报中文描述。例如：成本保险-直接物化成本保险（基本险）。</w:t>
            </w:r>
          </w:p>
        </w:tc>
      </w:tr>
    </w:tbl>
    <w:p>
      <w:pPr>
        <w:pStyle w:val="44"/>
        <w:spacing w:line="560" w:lineRule="exact"/>
        <w:rPr>
          <w:szCs w:val="22"/>
        </w:rPr>
      </w:pPr>
    </w:p>
    <w:p>
      <w:pPr>
        <w:pStyle w:val="6"/>
        <w:numPr>
          <w:ilvl w:val="0"/>
          <w:numId w:val="4"/>
        </w:numPr>
        <w:ind w:firstLine="600"/>
      </w:pPr>
      <w:r>
        <w:rPr>
          <w:rFonts w:hint="eastAsia"/>
        </w:rPr>
        <w:t>种植险分户赔付清单信息表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4"/>
        <w:gridCol w:w="1400"/>
        <w:gridCol w:w="825"/>
        <w:gridCol w:w="704"/>
        <w:gridCol w:w="704"/>
        <w:gridCol w:w="3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2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0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80"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ZZXFHPFQDXXB</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种植险分户赔付清单信息表</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1107</w:t>
            </w:r>
          </w:p>
        </w:tc>
        <w:tc>
          <w:tcPr>
            <w:tcW w:w="4480"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本表报送种植险分户赔付清单信息。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2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0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0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7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受损标的</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SSBD</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011006</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种植业受损标的，与保单主题中的种植业标的一致，对应《业务代码表》中“农险标的分类”，填报中文描述。例如：水稻、冬小麦、大麦等。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保单下标的序号，不同农户下的同一标的顺序+1，保单下唯一。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农户名称</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NHMC</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农业保险中农户分户的名称。需包含于承保农户分户清单信息内。如农户为自然人，隐私，财产保险公司变形。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机构农户标志</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JGNHBZ</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农户是否为机构的标志。填报中文描述：是，否。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机构农户证件类型</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JGNHZJLX</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农户为非自然人时，必填。机构农户证件类型优先填报统一社会信用代码，对应《业务代码表》中的“机构证件类型”，填报中文描述。例如：统一社会信用代码、组织机构代码证等。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个人农户证件类型</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GRNHZJLX</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农户为自然人时，必填。个人农户证件类型，对应《业务代码表》中的“个人身份证件类型”，填报中文描述。例如：居民身份证、军人身份证件、护照、出生医学证明等。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农户证件号码</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NHZJHM</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农户的证件号码。若为自然人证件号码，隐私，财产保险公司变形。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农户联系电话</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NHLXDH</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农业保险中农户分户的联系电话。需包含于承保农户分户清单信息内。隐私，暂不取，保险公司需在本地保留原文数据，并报送“隐私”。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估损数量</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GSSL</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种植险受损标的估计损失数量。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数量单位</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SLDW</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001009</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描述标的数量时所采用的数学方面或物理方面计量事物的标准量的名称，对应《业务代码表》中的“数量单位”，填报中文描述。例如：吨、亩、头等。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估损金额</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GSJE</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种植险标的估计损失金额。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受灾面积</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SZMJ</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001010</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由于灾害导致保险标的一定程度减产的作物种植面积，单位为亩。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成灾面积</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CZMJ</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001010</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由于灾害导致保险标的减产程度达到保险合同约定的起赔点的作物种植面积，单位为亩。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绝产面积</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JCMJ</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001010</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又称死亡面积，是指由于灾害导致保险标的绝收的作物种植面积，单位为亩。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理赔金额</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LPJE</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赔案实际赔付总金额，即农户赔付金额，含预赔金额。预赔金额为减项。正数表示赔付金额增加，负数表示赔付金额减少。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实际产量</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SJCL</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农险产品类型为产量保险、收入保险（一级分类）时，必填。按照种植业抽样测产的方式或当地政府认可的其他方式确定实际平均每亩产量，单位为千克/亩。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7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农险产品类型</w:t>
            </w:r>
          </w:p>
        </w:tc>
        <w:tc>
          <w:tcPr>
            <w:tcW w:w="14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NXCPLX</w:t>
            </w:r>
          </w:p>
        </w:tc>
        <w:tc>
          <w:tcPr>
            <w:tcW w:w="8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004006</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7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照农业保险经营经验及发展趋势，对产品进行的初步分类，险类为农险时，必填。按最细粒度（有二级分类上报一至二级分类）上报，对应《业务代码表》中的“农险产品类型”，填报中文描述。例如：成本保险-直接物化成本保险（基本险）。</w:t>
            </w:r>
          </w:p>
        </w:tc>
      </w:tr>
    </w:tbl>
    <w:p>
      <w:pPr>
        <w:pStyle w:val="44"/>
        <w:spacing w:line="560" w:lineRule="exact"/>
        <w:rPr>
          <w:szCs w:val="22"/>
        </w:rPr>
      </w:pPr>
    </w:p>
    <w:p>
      <w:pPr>
        <w:pStyle w:val="6"/>
        <w:numPr>
          <w:ilvl w:val="0"/>
          <w:numId w:val="4"/>
        </w:numPr>
        <w:ind w:firstLine="600"/>
      </w:pPr>
      <w:r>
        <w:rPr>
          <w:rFonts w:hint="eastAsia"/>
        </w:rPr>
        <w:t>养殖险分户赔付清单信息表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2"/>
        <w:gridCol w:w="1396"/>
        <w:gridCol w:w="824"/>
        <w:gridCol w:w="702"/>
        <w:gridCol w:w="702"/>
        <w:gridCol w:w="3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4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67"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YZXFHPFQDXXB</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养殖险分户赔付清单信息表</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1108</w:t>
            </w:r>
          </w:p>
        </w:tc>
        <w:tc>
          <w:tcPr>
            <w:tcW w:w="4467"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本表报送养殖险分户赔付清单信息。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4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0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6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受损标的</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SSBD</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011006</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养殖业受损标的，与保单主题中的养殖业标的一致，对应《业务代码表》中的“农险标的分类”，填报中文描述。例如：奶牛、肉牛、能繁母猪等。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保单下标的序号，不同农户下的同一标的顺序+1，保单下唯一。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耳标编号</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EBBH</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耳标编号是指养殖业保险标的的耳标号码。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农户名称</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NHMC</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农业保险中农户分户的名称。需包含于承保农户分户清单信息内。如农户为自然人，隐私，财产保险公司变形。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机构农户标志</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JGNHBZ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农户是否为机构的标志。填报中文描述：是，否。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机构农户证件类型</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JGNHZJLX</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农户为机构时，必填。机构农户证件类型优先填报统一社会信用代码，对应《业务代码表》中的“机构证件类型”，填报中文描述。例如：统一社会信用代码、组织机构代码证等。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个人农户证件类型</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GRNHZJLX</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农户为自然人时，必填。个人农户证件类型，对应《业务代码表》中的“个人身份证件类型”，填报中文描述。例如：居民身份证、军人身份证件、护照、出生医学证明等。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农户证件号码</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NHZJHM</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农户的证件号码。若为自然人证件号码，隐私，财产保险公司变形。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农户联系电话</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NHLXDH</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农业保险中农户分户的联系电话。需包含于承保农户分户清单信息内。隐私，暂不取，保险公司需在本地保留原文数据，并报送“隐私”。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死亡数量</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SWSL</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养殖业保险标的因保险事故导致的死亡数量。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扑杀数量</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PSSL</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养殖业保险标的因疫情被扑杀的数量。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数量单位</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SLDW</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001009</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描述标的数量时所采用的数学方面或物理方面计量事物的标准量的名称，对应《业务代码表》中的“数量单位”，填报中文描述。例如：吨、亩、头等。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估损金额</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GSJE</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养殖险标的估计损失金额。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理赔金额</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LPJE</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赔案实际赔付总金额，即农户赔付金额，含预赔金额。预赔金额为减项。正数表示赔付金额增加，负数表示赔付金额减少。</w:t>
            </w:r>
          </w:p>
        </w:tc>
      </w:tr>
    </w:tbl>
    <w:p>
      <w:pPr>
        <w:pStyle w:val="44"/>
        <w:spacing w:line="560" w:lineRule="exact"/>
        <w:rPr>
          <w:szCs w:val="22"/>
        </w:rPr>
      </w:pPr>
    </w:p>
    <w:p>
      <w:pPr>
        <w:pStyle w:val="6"/>
        <w:numPr>
          <w:ilvl w:val="0"/>
          <w:numId w:val="4"/>
        </w:numPr>
        <w:ind w:firstLine="600"/>
      </w:pPr>
      <w:r>
        <w:rPr>
          <w:rFonts w:hint="eastAsia"/>
        </w:rPr>
        <w:t>林业险分户赔付清单信息表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2"/>
        <w:gridCol w:w="1396"/>
        <w:gridCol w:w="824"/>
        <w:gridCol w:w="702"/>
        <w:gridCol w:w="702"/>
        <w:gridCol w:w="30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4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67"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LYXFHPFQDXXB</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林业险分户赔付清单信息表</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1109</w:t>
            </w:r>
          </w:p>
        </w:tc>
        <w:tc>
          <w:tcPr>
            <w:tcW w:w="4467"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本表报送林业险分户赔付清单信息。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4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0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6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受损标的</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SSBD</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011006</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林业受损标的，与保单主题中的林业标的一致，对应《业务代码表》中“农险标的分类”，填报中文描述。例如：公益林、商品林、苗圃林等。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保单下标的序号，不同农户下的同一标的顺序+1，保单下唯一。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农户名称</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NHMC</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农业保险中农户分户的名称。需包含于承保农户分户清单信息内。如农户为自然人，隐私，财产保险公司变形。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机构农户标志</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JGNHBZ</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农户是否为机构的标志。填报中文描述：是，否。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机构农户证件类型</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JGNHZJLX</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农户为机构时，必填。机构农户证件类型优先填报统一社会信用代码，对应《业务代码表》中的“机构证件类型”，填报中文描述。例如：统一社会信用代码、组织机构代码证等。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个人农户证件类型</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GRNHZJLX</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农户为自然人时，必填。个人农户证件类型，对应《业务代码表》中的“个人身份证件类型”，填报中文描述。例如：居民身份证、军人身份证件、护照、出生医学证明等。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农户证件号码</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NHZJHM</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农户的证件号码。若为自然人证件号码，隐私，财产保险公司变形。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农户联系电话</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NHLXDH</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农业保险中农户分户的联系电话。需包含于承保农户分户清单信息内。隐私，暂不取，保险公司需在本地保留原文数据，并报送“隐私”。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估损数量</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GSSL</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林业险受损标的估计损失数量。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数量单位</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SLDW</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001009</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描述标的数量时所采用的数学方面或物理方面计量事物的标准量的名称，对应《业务代码表》中的“数量单位”，填报中文描述。例如：吨、亩、头等。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估损金额</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GSJE</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林业险标的估计损失金额。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受灾面积</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SZMJ</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001010</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由于灾害导致保险林木一定程度损失的面积，单位为亩。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成灾面积</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CZMJ</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001010</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由于灾害导致保险标的损失程度达到保险合同约定的起赔点的林木面积，单位为亩。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绝产面积</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JCMJ</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001010</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又称死亡面积，是指由于灾害导致保险标的全部损失的林木面积，单位为亩。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4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理赔金额</w:t>
            </w:r>
          </w:p>
        </w:tc>
        <w:tc>
          <w:tcPr>
            <w:tcW w:w="13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LPJE</w:t>
            </w:r>
          </w:p>
        </w:tc>
        <w:tc>
          <w:tcPr>
            <w:tcW w:w="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赔案实际赔付总金额，即农户赔付金额，含预赔金额。预赔金额为减项。正数表示赔付金额增加，负数表示赔付金额减少。</w:t>
            </w:r>
          </w:p>
        </w:tc>
      </w:tr>
    </w:tbl>
    <w:p>
      <w:pPr>
        <w:pStyle w:val="44"/>
        <w:spacing w:line="560" w:lineRule="exact"/>
        <w:rPr>
          <w:szCs w:val="22"/>
        </w:rPr>
      </w:pPr>
    </w:p>
    <w:p>
      <w:pPr>
        <w:pStyle w:val="4"/>
      </w:pPr>
      <w:bookmarkStart w:id="59" w:name="_Toc9613"/>
      <w:bookmarkStart w:id="60" w:name="_Toc368357855"/>
      <w:r>
        <w:rPr>
          <w:rFonts w:hint="eastAsia"/>
        </w:rPr>
        <w:t>家财险专项信息</w:t>
      </w:r>
      <w:bookmarkEnd w:id="59"/>
      <w:bookmarkEnd w:id="60"/>
    </w:p>
    <w:p>
      <w:pPr>
        <w:pStyle w:val="51"/>
        <w:numPr>
          <w:ilvl w:val="0"/>
          <w:numId w:val="17"/>
        </w:numPr>
      </w:pPr>
      <w:r>
        <w:rPr>
          <w:rFonts w:hint="eastAsia"/>
        </w:rPr>
        <w:t>家财险房屋信息表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JCXFWXXB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家财险房屋信息表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1201</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本表报送家财险涉及房屋的相关信息，如保单编号、标的编号、地址代码等。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房屋地址所在省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FWDZSZS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房屋地址所在省，默认值000000，对应《业务代码表》中的“县及县以上行政区划”，填报中文描述。例如：北京市、天津市、河北省等。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房屋地址</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FWDZ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标的房屋的地址，包含省市区县和街道名称和门牌号码。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房屋结构</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FWJG</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012004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标的房屋的结构，对应《业务代码表》中的“建筑结构”，填报中文描述。例如：钢混结构、砖混结构等。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房屋用途</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FWYT</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012003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标的房屋用途，填报中文描述。包括：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自住</w:t>
            </w:r>
            <w:r>
              <w:rPr>
                <w:rFonts w:hint="eastAsia" w:ascii="宋体" w:hAnsi="宋体" w:cs="宋体"/>
                <w:color w:val="000000"/>
                <w:kern w:val="0"/>
                <w:szCs w:val="21"/>
              </w:rPr>
              <w:br w:type="textWrapping"/>
            </w:r>
            <w:r>
              <w:rPr>
                <w:rFonts w:hint="eastAsia" w:ascii="宋体" w:hAnsi="宋体" w:cs="宋体"/>
                <w:color w:val="000000"/>
                <w:kern w:val="0"/>
                <w:szCs w:val="21"/>
              </w:rPr>
              <w:t>商住两用</w:t>
            </w:r>
            <w:r>
              <w:rPr>
                <w:rFonts w:hint="eastAsia" w:ascii="宋体" w:hAnsi="宋体" w:cs="宋体"/>
                <w:color w:val="000000"/>
                <w:kern w:val="0"/>
                <w:szCs w:val="21"/>
              </w:rPr>
              <w:br w:type="textWrapping"/>
            </w:r>
            <w:r>
              <w:rPr>
                <w:rFonts w:hint="eastAsia" w:ascii="宋体" w:hAnsi="宋体" w:cs="宋体"/>
                <w:color w:val="000000"/>
                <w:kern w:val="0"/>
                <w:szCs w:val="21"/>
              </w:rPr>
              <w:t>出租</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房屋所有权证号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FWSYQZH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012001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标的房屋的房屋产权证上记录的房屋所有权证编号。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房屋建成日期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FWJCRQ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标的房屋的建造完成日期。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建筑面积</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JZMJ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标的房屋的房屋产权证上记录的建筑面积，单位是平方米。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房屋间数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FWJS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标的房屋的间数。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价格</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标的房屋每平方米的购买价格，单位是元/平方米。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总价款</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ZJK</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标的房屋购买时的总价款。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农房标志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NFBZ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房屋是否为农房的标志。填报中文描述：是，否。</w:t>
            </w:r>
          </w:p>
        </w:tc>
      </w:tr>
    </w:tbl>
    <w:p>
      <w:pPr>
        <w:pStyle w:val="44"/>
        <w:spacing w:line="560" w:lineRule="exact"/>
        <w:rPr>
          <w:rFonts w:ascii="Calibri" w:hAnsi="Calibri"/>
          <w:szCs w:val="22"/>
        </w:rPr>
      </w:pPr>
    </w:p>
    <w:p>
      <w:pPr>
        <w:pStyle w:val="6"/>
        <w:numPr>
          <w:ilvl w:val="0"/>
          <w:numId w:val="4"/>
        </w:numPr>
        <w:ind w:firstLine="600"/>
      </w:pPr>
      <w:r>
        <w:rPr>
          <w:rFonts w:hint="eastAsia"/>
        </w:rPr>
        <w:t>家财险贷款信息表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JCXDKXXB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家财险贷款信息表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1202</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本表报送家财险涉及银行贷款的相关信息，如贷款银行、贷款金额、贷款性质等。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保单下标的序号，多标的顺序+1，保单下唯一。填报作为房屋的标的序号，与家财险房屋信息表的标的序号一致。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贷款合约编号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DKHYBH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贷款的合约编号。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贷款银行</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DKYH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以标的作为抵押，发放贷款的商业银行，对应《业务代码表》中的“金融许可证机构”，填报中文描述。例如，中国农业银行、中国建设银行。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以标的作为抵押申请贷款的金额。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贷款人民币金额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DKRMBJE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以标的作为抵押发放的贷款折人民币金额。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标的贷款的币种，对应《业务代码表》中的“币种”，填报字母。例如：CNY、EUR、JRY等。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贷款性质</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DKXZ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012002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以标的作为抵押发放的贷款性质，填报中文描述。包括：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公积金贷款</w:t>
            </w:r>
            <w:r>
              <w:rPr>
                <w:rFonts w:hint="eastAsia" w:ascii="宋体" w:hAnsi="宋体" w:cs="宋体"/>
                <w:color w:val="000000"/>
                <w:kern w:val="0"/>
                <w:szCs w:val="21"/>
              </w:rPr>
              <w:br w:type="textWrapping"/>
            </w:r>
            <w:r>
              <w:rPr>
                <w:rFonts w:hint="eastAsia" w:ascii="宋体" w:hAnsi="宋体" w:cs="宋体"/>
                <w:color w:val="000000"/>
                <w:kern w:val="0"/>
                <w:szCs w:val="21"/>
              </w:rPr>
              <w:t>组合贷款</w:t>
            </w:r>
            <w:r>
              <w:rPr>
                <w:rFonts w:hint="eastAsia" w:ascii="宋体" w:hAnsi="宋体" w:cs="宋体"/>
                <w:color w:val="000000"/>
                <w:kern w:val="0"/>
                <w:szCs w:val="21"/>
              </w:rPr>
              <w:br w:type="textWrapping"/>
            </w:r>
            <w:r>
              <w:rPr>
                <w:rFonts w:hint="eastAsia" w:ascii="宋体" w:hAnsi="宋体" w:cs="宋体"/>
                <w:color w:val="000000"/>
                <w:kern w:val="0"/>
                <w:szCs w:val="21"/>
              </w:rPr>
              <w:t>商业贷款</w:t>
            </w:r>
            <w:r>
              <w:rPr>
                <w:rFonts w:hint="eastAsia" w:ascii="宋体" w:hAnsi="宋体" w:cs="宋体"/>
                <w:color w:val="000000"/>
                <w:kern w:val="0"/>
                <w:szCs w:val="21"/>
              </w:rPr>
              <w:br w:type="textWrapping"/>
            </w:r>
            <w:r>
              <w:rPr>
                <w:rFonts w:hint="eastAsia" w:ascii="宋体" w:hAnsi="宋体" w:cs="宋体"/>
                <w:color w:val="000000"/>
                <w:kern w:val="0"/>
                <w:szCs w:val="21"/>
              </w:rPr>
              <w:t>其他贷款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贷款期限起始日期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DKQXQSRQ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标的贷款的期限起始日期。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贷款期限终止日期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DKQXZZRQ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标的贷款的期限结束日期。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首付比例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SFBL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贷款抵押房屋的首付比例。取值范围0-1。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首付金额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SFJE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贷款抵押房屋的首付金额。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贷款银行联系电话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DKYHLXDH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001020</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标的贷款的银行联系电话。</w:t>
            </w:r>
          </w:p>
        </w:tc>
      </w:tr>
    </w:tbl>
    <w:p>
      <w:pPr>
        <w:pStyle w:val="44"/>
        <w:spacing w:line="560" w:lineRule="exact"/>
        <w:rPr>
          <w:rFonts w:ascii="Calibri" w:hAnsi="Calibri"/>
          <w:szCs w:val="22"/>
        </w:rPr>
      </w:pPr>
    </w:p>
    <w:p>
      <w:pPr>
        <w:pStyle w:val="6"/>
        <w:numPr>
          <w:ilvl w:val="0"/>
          <w:numId w:val="4"/>
        </w:numPr>
        <w:ind w:firstLine="600"/>
      </w:pPr>
      <w:r>
        <w:rPr>
          <w:rFonts w:hint="eastAsia"/>
        </w:rPr>
        <w:t>家财险个人资金账户信息表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8"/>
        <w:gridCol w:w="1410"/>
        <w:gridCol w:w="830"/>
        <w:gridCol w:w="708"/>
        <w:gridCol w:w="708"/>
        <w:gridCol w:w="3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7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1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3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11"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JCXGRZJZHXXB</w:t>
            </w:r>
          </w:p>
        </w:tc>
        <w:tc>
          <w:tcPr>
            <w:tcW w:w="14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家财险个人资金账户信息表</w:t>
            </w:r>
          </w:p>
        </w:tc>
        <w:tc>
          <w:tcPr>
            <w:tcW w:w="8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1203</w:t>
            </w:r>
          </w:p>
        </w:tc>
        <w:tc>
          <w:tcPr>
            <w:tcW w:w="4511"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本表报送家财险涉及个人资金账户的各信息，如开户机构、账户名称、银行卡号等。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7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1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3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9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银行账户标志</w:t>
            </w:r>
          </w:p>
        </w:tc>
        <w:tc>
          <w:tcPr>
            <w:tcW w:w="14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YHZHBZ</w:t>
            </w:r>
          </w:p>
        </w:tc>
        <w:tc>
          <w:tcPr>
            <w:tcW w:w="8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个人账户是否为银行账户的标志。填报中文描述：是，否。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开户机构名称</w:t>
            </w:r>
          </w:p>
        </w:tc>
        <w:tc>
          <w:tcPr>
            <w:tcW w:w="14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KHJGMC</w:t>
            </w:r>
          </w:p>
        </w:tc>
        <w:tc>
          <w:tcPr>
            <w:tcW w:w="8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个人账户开户机构名称，包括银行和第三方的账户管理机构等。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账户名称</w:t>
            </w:r>
          </w:p>
        </w:tc>
        <w:tc>
          <w:tcPr>
            <w:tcW w:w="14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ZHMC</w:t>
            </w:r>
          </w:p>
        </w:tc>
        <w:tc>
          <w:tcPr>
            <w:tcW w:w="8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001040</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个人账户名称。隐私，财产保险公司变形。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银行卡号</w:t>
            </w:r>
          </w:p>
        </w:tc>
        <w:tc>
          <w:tcPr>
            <w:tcW w:w="14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YHKH</w:t>
            </w:r>
          </w:p>
        </w:tc>
        <w:tc>
          <w:tcPr>
            <w:tcW w:w="8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001039</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开户机构是银行时，记录个人账户银行卡号。</w:t>
            </w:r>
          </w:p>
        </w:tc>
      </w:tr>
    </w:tbl>
    <w:p>
      <w:pPr>
        <w:pStyle w:val="44"/>
        <w:spacing w:line="560" w:lineRule="exact"/>
        <w:rPr>
          <w:szCs w:val="22"/>
        </w:rPr>
      </w:pPr>
    </w:p>
    <w:p>
      <w:pPr>
        <w:pStyle w:val="4"/>
      </w:pPr>
      <w:bookmarkStart w:id="61" w:name="_Toc1942598331"/>
      <w:bookmarkStart w:id="62" w:name="_Toc8290"/>
      <w:r>
        <w:rPr>
          <w:rFonts w:hint="eastAsia"/>
        </w:rPr>
        <w:t>企财险专项信息</w:t>
      </w:r>
      <w:bookmarkEnd w:id="61"/>
      <w:bookmarkEnd w:id="62"/>
    </w:p>
    <w:p>
      <w:pPr>
        <w:pStyle w:val="51"/>
        <w:numPr>
          <w:ilvl w:val="0"/>
          <w:numId w:val="18"/>
        </w:numPr>
      </w:pPr>
      <w:r>
        <w:rPr>
          <w:rFonts w:hint="eastAsia"/>
        </w:rPr>
        <w:t>企财险保单标的信息表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1435"/>
        <w:gridCol w:w="843"/>
        <w:gridCol w:w="718"/>
        <w:gridCol w:w="718"/>
        <w:gridCol w:w="3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5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3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92"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QCXBDBDXXB</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企财险保单标的信息表</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1301</w:t>
            </w:r>
          </w:p>
        </w:tc>
        <w:tc>
          <w:tcPr>
            <w:tcW w:w="4592"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本表报送企财险保单标的的各信息，如标的地址、占用性质、标的类型等。营业中断险标的和物质财产损失标的为同一个，不需要在企财险保单标的信息表重复报送。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5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3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5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财产坐落地址所在省</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CCZLDZSZS</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财产坐落地址所在省，默认值000000，对应《业务代码表》中的“县及县以上行政区划”，填报中文描述。例如：北京市、天津市、河北省等。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财产坐落地址</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CCZLDZ</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财产坐落地址，包含省市区县和街道名称和门牌号码。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占用性质</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ZYXZ</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013004</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企业的占用性质，按照企财险标的分类标准的大类进行分类，对应《业务代码表》中的“占用性质”，填报中文描述。例如：一级工业、二级工业、储存一般物资等。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企财险标的类型</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QCXBDLX</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005009</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企财险的标的分类，对应《业务代码表》中的“企财险标的类型”，填报中文描述。例如：烟煤和无烟煤开采洗选、金属家具制造、谷物磨制等。</w:t>
            </w:r>
          </w:p>
        </w:tc>
      </w:tr>
    </w:tbl>
    <w:p>
      <w:pPr>
        <w:pStyle w:val="44"/>
        <w:spacing w:line="560" w:lineRule="exact"/>
        <w:rPr>
          <w:rFonts w:ascii="Calibri" w:hAnsi="Calibri"/>
          <w:szCs w:val="22"/>
        </w:rPr>
      </w:pPr>
    </w:p>
    <w:p>
      <w:pPr>
        <w:pStyle w:val="6"/>
        <w:numPr>
          <w:ilvl w:val="0"/>
          <w:numId w:val="4"/>
        </w:numPr>
        <w:ind w:firstLine="600"/>
      </w:pPr>
      <w:r>
        <w:rPr>
          <w:rFonts w:hint="eastAsia"/>
        </w:rPr>
        <w:t>企财险营业中断保险保单扩展信息表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3"/>
        <w:gridCol w:w="1419"/>
        <w:gridCol w:w="792"/>
        <w:gridCol w:w="649"/>
        <w:gridCol w:w="649"/>
        <w:gridCol w:w="2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7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79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045"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QCXYYZDBXBDKZXXB</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企财险营业中断保险保单扩展信息表</w:t>
            </w:r>
          </w:p>
        </w:tc>
        <w:tc>
          <w:tcPr>
            <w:tcW w:w="7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1302</w:t>
            </w:r>
          </w:p>
        </w:tc>
        <w:tc>
          <w:tcPr>
            <w:tcW w:w="4045"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本表报送企财险营业中断保险保单的相关信息，如已投保物质财产损失保险的保单编号、最大赔偿天数等。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7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79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4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4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74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7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7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7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7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7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物质财产损失保单编号</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WZCCSSBDBH</w:t>
            </w:r>
          </w:p>
        </w:tc>
        <w:tc>
          <w:tcPr>
            <w:tcW w:w="7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企财险已投保物质财产损失保险的保单编号。仅适用于营业中断保险。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最大赔偿期</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ZDPCQ</w:t>
            </w:r>
          </w:p>
        </w:tc>
        <w:tc>
          <w:tcPr>
            <w:tcW w:w="79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001005</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指保险有效期内发生灾害事故后至恢复正常的最长天数。仅适用于营业中断保险。</w:t>
            </w:r>
          </w:p>
        </w:tc>
      </w:tr>
    </w:tbl>
    <w:p>
      <w:pPr>
        <w:pStyle w:val="44"/>
        <w:spacing w:line="560" w:lineRule="exact"/>
        <w:rPr>
          <w:rFonts w:ascii="Calibri" w:hAnsi="Calibri"/>
          <w:szCs w:val="22"/>
        </w:rPr>
      </w:pPr>
    </w:p>
    <w:p>
      <w:pPr>
        <w:pStyle w:val="6"/>
        <w:numPr>
          <w:ilvl w:val="0"/>
          <w:numId w:val="4"/>
        </w:numPr>
        <w:ind w:firstLine="600"/>
      </w:pPr>
      <w:r>
        <w:rPr>
          <w:rFonts w:hint="eastAsia"/>
        </w:rPr>
        <w:t>企财险标的楼宇信息表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9"/>
        <w:gridCol w:w="1437"/>
        <w:gridCol w:w="844"/>
        <w:gridCol w:w="719"/>
        <w:gridCol w:w="719"/>
        <w:gridCol w:w="3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4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99"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QCXBDLYXXB</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企财险标的楼宇信息表</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1303</w:t>
            </w:r>
          </w:p>
        </w:tc>
        <w:tc>
          <w:tcPr>
            <w:tcW w:w="4599"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本表报送企财险标的楼宇的相关信息，如建筑物主体分类等。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4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5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建筑耐久等级</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JZNJDJ</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012007</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企财险标的楼宇根据建筑物耐久程度进行分类，填报中文描述。包括：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一级，耐久年限100年以上</w:t>
            </w:r>
            <w:r>
              <w:rPr>
                <w:rFonts w:hint="eastAsia" w:ascii="宋体" w:hAnsi="宋体" w:cs="宋体"/>
                <w:color w:val="000000"/>
                <w:kern w:val="0"/>
                <w:szCs w:val="21"/>
              </w:rPr>
              <w:br w:type="textWrapping"/>
            </w:r>
            <w:r>
              <w:rPr>
                <w:rFonts w:hint="eastAsia" w:ascii="宋体" w:hAnsi="宋体" w:cs="宋体"/>
                <w:color w:val="000000"/>
                <w:kern w:val="0"/>
                <w:szCs w:val="21"/>
              </w:rPr>
              <w:t>二级，耐久年限50~100年</w:t>
            </w:r>
            <w:r>
              <w:rPr>
                <w:rFonts w:hint="eastAsia" w:ascii="宋体" w:hAnsi="宋体" w:cs="宋体"/>
                <w:color w:val="000000"/>
                <w:kern w:val="0"/>
                <w:szCs w:val="21"/>
              </w:rPr>
              <w:br w:type="textWrapping"/>
            </w:r>
            <w:r>
              <w:rPr>
                <w:rFonts w:hint="eastAsia" w:ascii="宋体" w:hAnsi="宋体" w:cs="宋体"/>
                <w:color w:val="000000"/>
                <w:kern w:val="0"/>
                <w:szCs w:val="21"/>
              </w:rPr>
              <w:t>三级，耐久年限25~50年</w:t>
            </w:r>
            <w:r>
              <w:rPr>
                <w:rFonts w:hint="eastAsia" w:ascii="宋体" w:hAnsi="宋体" w:cs="宋体"/>
                <w:color w:val="000000"/>
                <w:kern w:val="0"/>
                <w:szCs w:val="21"/>
              </w:rPr>
              <w:br w:type="textWrapping"/>
            </w:r>
            <w:r>
              <w:rPr>
                <w:rFonts w:hint="eastAsia" w:ascii="宋体" w:hAnsi="宋体" w:cs="宋体"/>
                <w:color w:val="000000"/>
                <w:kern w:val="0"/>
                <w:szCs w:val="21"/>
              </w:rPr>
              <w:t>四级，耐久年限15年以下</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建筑结构</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JZJG</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012004</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企财险标的楼宇的建筑结构，对应《业务代码表》中的“建筑结构”，填报中文描述。例如：钢混结构、砖混结构等。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5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建筑耐火等级</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JZNHDJ</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012006</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企财险标的楼宇根据建筑物耐火程度进行分类，填报中文描述。包括：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防火建筑</w:t>
            </w:r>
            <w:r>
              <w:rPr>
                <w:rFonts w:hint="eastAsia" w:ascii="宋体" w:hAnsi="宋体" w:cs="宋体"/>
                <w:color w:val="000000"/>
                <w:kern w:val="0"/>
                <w:szCs w:val="21"/>
              </w:rPr>
              <w:br w:type="textWrapping"/>
            </w:r>
            <w:r>
              <w:rPr>
                <w:rFonts w:hint="eastAsia" w:ascii="宋体" w:hAnsi="宋体" w:cs="宋体"/>
                <w:color w:val="000000"/>
                <w:kern w:val="0"/>
                <w:szCs w:val="21"/>
              </w:rPr>
              <w:t>不可燃建筑</w:t>
            </w:r>
            <w:r>
              <w:rPr>
                <w:rFonts w:hint="eastAsia" w:ascii="宋体" w:hAnsi="宋体" w:cs="宋体"/>
                <w:color w:val="000000"/>
                <w:kern w:val="0"/>
                <w:szCs w:val="21"/>
              </w:rPr>
              <w:br w:type="textWrapping"/>
            </w:r>
            <w:r>
              <w:rPr>
                <w:rFonts w:hint="eastAsia" w:ascii="宋体" w:hAnsi="宋体" w:cs="宋体"/>
                <w:color w:val="000000"/>
                <w:kern w:val="0"/>
                <w:szCs w:val="21"/>
              </w:rPr>
              <w:t>可燃建筑</w:t>
            </w:r>
            <w:r>
              <w:rPr>
                <w:rFonts w:hint="eastAsia" w:ascii="宋体" w:hAnsi="宋体" w:cs="宋体"/>
                <w:color w:val="000000"/>
                <w:kern w:val="0"/>
                <w:szCs w:val="21"/>
              </w:rPr>
              <w:br w:type="textWrapping"/>
            </w:r>
            <w:r>
              <w:rPr>
                <w:rFonts w:hint="eastAsia" w:ascii="宋体" w:hAnsi="宋体" w:cs="宋体"/>
                <w:color w:val="000000"/>
                <w:kern w:val="0"/>
                <w:szCs w:val="21"/>
              </w:rPr>
              <w:t>易燃建筑</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5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建筑物主体分类</w:t>
            </w:r>
          </w:p>
        </w:tc>
        <w:tc>
          <w:tcPr>
            <w:tcW w:w="14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JZWZTFL</w:t>
            </w:r>
          </w:p>
        </w:tc>
        <w:tc>
          <w:tcPr>
            <w:tcW w:w="8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012005</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企财险标的楼宇建筑物主体分类的，填报中文描述。包括：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屋顶</w:t>
            </w:r>
            <w:r>
              <w:rPr>
                <w:rFonts w:hint="eastAsia" w:ascii="宋体" w:hAnsi="宋体" w:cs="宋体"/>
                <w:color w:val="000000"/>
                <w:kern w:val="0"/>
                <w:szCs w:val="21"/>
              </w:rPr>
              <w:br w:type="textWrapping"/>
            </w:r>
            <w:r>
              <w:rPr>
                <w:rFonts w:hint="eastAsia" w:ascii="宋体" w:hAnsi="宋体" w:cs="宋体"/>
                <w:color w:val="000000"/>
                <w:kern w:val="0"/>
                <w:szCs w:val="21"/>
              </w:rPr>
              <w:t>墙体</w:t>
            </w:r>
            <w:r>
              <w:rPr>
                <w:rFonts w:hint="eastAsia" w:ascii="宋体" w:hAnsi="宋体" w:cs="宋体"/>
                <w:color w:val="000000"/>
                <w:kern w:val="0"/>
                <w:szCs w:val="21"/>
              </w:rPr>
              <w:br w:type="textWrapping"/>
            </w:r>
            <w:r>
              <w:rPr>
                <w:rFonts w:hint="eastAsia" w:ascii="宋体" w:hAnsi="宋体" w:cs="宋体"/>
                <w:color w:val="000000"/>
                <w:kern w:val="0"/>
                <w:szCs w:val="21"/>
              </w:rPr>
              <w:t>地面</w:t>
            </w:r>
            <w:r>
              <w:rPr>
                <w:rFonts w:hint="eastAsia" w:ascii="宋体" w:hAnsi="宋体" w:cs="宋体"/>
                <w:color w:val="000000"/>
                <w:kern w:val="0"/>
                <w:szCs w:val="21"/>
              </w:rPr>
              <w:br w:type="textWrapping"/>
            </w:r>
            <w:r>
              <w:rPr>
                <w:rFonts w:hint="eastAsia" w:ascii="宋体" w:hAnsi="宋体" w:cs="宋体"/>
                <w:color w:val="000000"/>
                <w:kern w:val="0"/>
                <w:szCs w:val="21"/>
              </w:rPr>
              <w:t>主体结构部分</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bl>
    <w:p>
      <w:pPr>
        <w:pStyle w:val="44"/>
        <w:spacing w:line="560" w:lineRule="exact"/>
        <w:rPr>
          <w:rFonts w:ascii="Calibri" w:hAnsi="Calibri"/>
          <w:szCs w:val="22"/>
        </w:rPr>
      </w:pPr>
    </w:p>
    <w:p>
      <w:pPr>
        <w:pStyle w:val="6"/>
        <w:numPr>
          <w:ilvl w:val="0"/>
          <w:numId w:val="4"/>
        </w:numPr>
        <w:ind w:firstLine="600"/>
      </w:pPr>
      <w:r>
        <w:rPr>
          <w:rFonts w:hint="eastAsia"/>
        </w:rPr>
        <w:t>企财险标的工程设备信息表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541"/>
        <w:gridCol w:w="809"/>
        <w:gridCol w:w="690"/>
        <w:gridCol w:w="690"/>
        <w:gridCol w:w="2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0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54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0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374"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QCXBDGCSBXXB</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企财险标的工程设备信息表</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1304</w:t>
            </w:r>
          </w:p>
        </w:tc>
        <w:tc>
          <w:tcPr>
            <w:tcW w:w="4374"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本表报送企财险标的工程设备的相关信息，如设备名称、设备品牌、车辆类型等。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0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54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0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99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机械设备名称</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JXSBMC</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企财险工程机械设备的名称。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机械设备品牌名称</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JXSBPPMC</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企财险工程机械设备的品牌名称。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机械设备类型</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JXSBLX</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019004</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企财险工程机械设备的分类，对应《业务代码表》中的“机械设备类型”，填报中文描述。例如：挖掘机械、铲土运输机械等。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出厂日期</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CCRQ</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企财险工程机械设备的生产经检验合格时的日期。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初次登记日期</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CCDJRQ</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企财险工程机械设备的在交管所的初次登记日期。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机械设备的实际使用年限</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JXSBDSJSYNX1</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企财险工程机械设备从投入使用到现在的使用年限，单位为年，可以保留小数。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机械设备的设计使用年限</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JXSBDSJSYNX</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企财险工程机械设备从投入使用到不宜再继续使用的总运行年限，单位为年，可以保留小数。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厂牌型号</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CPXH</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企财险工程机械设备车辆的品牌及型号。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载重吨位</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ZZDW</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企财险工程机械设备所能装运货物的最大限度重量，单位为吨。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车辆识别码</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CLSBM</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010001</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VIN码，是根据道路车辆车辆识别码(VIN)编制标准制定的17位车辆编码，包含有车辆的生产厂家、年代、车型、车身型式及代码、发动机代码及组装地点等信息。适用于国产车或车架号符合车辆识别码编制规则的进口车。对于没有VIN码的车辆，在此字段中填报车辆的车架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车辆类型</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CLLX</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010003</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企财险工程机械设备的车辆类型，对应《业务代码表》中的“机动车车辆类型”，填报中文描述。例如：旅游客运、营业货车等。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购置价值</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GZJZ</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企财险工程机械设备的购买价格。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年折旧率</w:t>
            </w:r>
          </w:p>
        </w:tc>
        <w:tc>
          <w:tcPr>
            <w:tcW w:w="15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NZJL</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9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企财险工程机械设备的年折旧率。</w:t>
            </w:r>
          </w:p>
        </w:tc>
      </w:tr>
    </w:tbl>
    <w:p>
      <w:pPr>
        <w:pStyle w:val="44"/>
        <w:spacing w:line="560" w:lineRule="exact"/>
        <w:rPr>
          <w:rFonts w:ascii="Calibri" w:hAnsi="Calibri"/>
          <w:szCs w:val="22"/>
        </w:rPr>
      </w:pPr>
    </w:p>
    <w:p>
      <w:pPr>
        <w:pStyle w:val="6"/>
        <w:numPr>
          <w:ilvl w:val="0"/>
          <w:numId w:val="4"/>
        </w:numPr>
        <w:ind w:firstLine="600"/>
      </w:pPr>
      <w:r>
        <w:rPr>
          <w:rFonts w:hint="eastAsia"/>
        </w:rPr>
        <w:t>企财险标的通用设备设施信息表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8"/>
        <w:gridCol w:w="1355"/>
        <w:gridCol w:w="819"/>
        <w:gridCol w:w="686"/>
        <w:gridCol w:w="686"/>
        <w:gridCol w:w="2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91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5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337"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QCXBDTYSBSSXXB</w:t>
            </w:r>
          </w:p>
        </w:tc>
        <w:tc>
          <w:tcPr>
            <w:tcW w:w="13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企财险标的通用设备设施信息表</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1305</w:t>
            </w:r>
          </w:p>
        </w:tc>
        <w:tc>
          <w:tcPr>
            <w:tcW w:w="4337"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本表报送企财险标的通用设备设施的相关信息，如设备名称、规格型号、购置日期等。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91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5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8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8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96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9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9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设备名称</w:t>
            </w:r>
          </w:p>
        </w:tc>
        <w:tc>
          <w:tcPr>
            <w:tcW w:w="13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SBMC</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设备标的名称。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规格型号</w:t>
            </w:r>
          </w:p>
        </w:tc>
        <w:tc>
          <w:tcPr>
            <w:tcW w:w="13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GGXH</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企财险标的设备、机械、室内设施的规格型号或者厂牌型号。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投产日期</w:t>
            </w:r>
          </w:p>
        </w:tc>
        <w:tc>
          <w:tcPr>
            <w:tcW w:w="13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TCRQ</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企财险标的设备的投产日期。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标的数量</w:t>
            </w:r>
          </w:p>
        </w:tc>
        <w:tc>
          <w:tcPr>
            <w:tcW w:w="13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BDSL</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企财险标的设备同一标的序号的标的数量。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标的数量单位</w:t>
            </w:r>
          </w:p>
        </w:tc>
        <w:tc>
          <w:tcPr>
            <w:tcW w:w="13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BDSLDW</w:t>
            </w:r>
          </w:p>
        </w:tc>
        <w:tc>
          <w:tcPr>
            <w:tcW w:w="8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001009</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企财险标的设备的数量单位名称，对应《业务代码表》中的“数量单位”，填报中文描述。例如：件、箱等。</w:t>
            </w:r>
          </w:p>
        </w:tc>
      </w:tr>
    </w:tbl>
    <w:p>
      <w:pPr>
        <w:pStyle w:val="44"/>
        <w:spacing w:line="560" w:lineRule="exact"/>
        <w:rPr>
          <w:szCs w:val="22"/>
        </w:rPr>
      </w:pPr>
    </w:p>
    <w:p>
      <w:pPr>
        <w:pStyle w:val="4"/>
      </w:pPr>
      <w:bookmarkStart w:id="63" w:name="_Toc1056263776"/>
      <w:bookmarkStart w:id="64" w:name="_Toc22902"/>
      <w:r>
        <w:rPr>
          <w:rFonts w:hint="eastAsia"/>
        </w:rPr>
        <w:t>责任险专项信息</w:t>
      </w:r>
      <w:bookmarkEnd w:id="63"/>
      <w:bookmarkEnd w:id="64"/>
    </w:p>
    <w:p>
      <w:pPr>
        <w:pStyle w:val="51"/>
        <w:numPr>
          <w:ilvl w:val="0"/>
          <w:numId w:val="19"/>
        </w:numPr>
      </w:pPr>
      <w:r>
        <w:rPr>
          <w:rFonts w:hint="eastAsia"/>
        </w:rPr>
        <w:t>责任险保单扩展信息表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439"/>
        <w:gridCol w:w="845"/>
        <w:gridCol w:w="720"/>
        <w:gridCol w:w="720"/>
        <w:gridCol w:w="31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3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5"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ZRXBDKZXXB</w:t>
            </w:r>
          </w:p>
        </w:tc>
        <w:tc>
          <w:tcPr>
            <w:tcW w:w="14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责任险保单扩展信息表</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1401</w:t>
            </w:r>
          </w:p>
        </w:tc>
        <w:tc>
          <w:tcPr>
            <w:tcW w:w="4605"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本表报送责任险保单的相关扩展信息。对虚拟保单需合并报送。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3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又称保单号，是保险人在签发保单时按照公司自有编制规则印制在保单凭证上的编号。对于虚拟保单，保单编号中填报虚拟保单号。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索赔基础名称</w:t>
            </w:r>
          </w:p>
        </w:tc>
        <w:tc>
          <w:tcPr>
            <w:tcW w:w="14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SPJCMC</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008005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出险后的理赔方式代码的描述，填报中文描述。包括：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期内发生式</w:t>
            </w:r>
            <w:r>
              <w:rPr>
                <w:rFonts w:hint="eastAsia" w:ascii="宋体" w:hAnsi="宋体" w:cs="宋体"/>
                <w:color w:val="000000"/>
                <w:kern w:val="0"/>
                <w:szCs w:val="21"/>
              </w:rPr>
              <w:br w:type="textWrapping"/>
            </w:r>
            <w:r>
              <w:rPr>
                <w:rFonts w:hint="eastAsia" w:ascii="宋体" w:hAnsi="宋体" w:cs="宋体"/>
                <w:color w:val="000000"/>
                <w:kern w:val="0"/>
                <w:szCs w:val="21"/>
              </w:rPr>
              <w:t>期内索赔式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追溯起始日期</w:t>
            </w:r>
          </w:p>
        </w:tc>
        <w:tc>
          <w:tcPr>
            <w:tcW w:w="14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ZSQSRQ</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当索赔基础名称为“期内索赔式”时，必填。期内索赔式责任保险中，保险合同当事人在保险合同中约定的从保险责任起始日向前追溯的起始日期。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追溯终止日期</w:t>
            </w:r>
          </w:p>
        </w:tc>
        <w:tc>
          <w:tcPr>
            <w:tcW w:w="14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ZSZZRQ</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期内索赔式责任保险中，保险合同当事人在保险合同中约定的从保险责任起始日向前追溯的截止日期。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报告起始日期</w:t>
            </w:r>
          </w:p>
        </w:tc>
        <w:tc>
          <w:tcPr>
            <w:tcW w:w="14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BGQSRQ</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期内发生式责任保险中，保险合同当事人在保险合同中约定的从保险责任终止日往后延续的起始日期。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报告终止日期</w:t>
            </w:r>
          </w:p>
        </w:tc>
        <w:tc>
          <w:tcPr>
            <w:tcW w:w="14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BGZZRQ</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当索赔基础名称为“期内发生式”时，必填。期内发生式责任保险中，保险合同当事人在保险合同中约定的从保险责任终止日往后延续的截止日期。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最低保费</w:t>
            </w:r>
          </w:p>
        </w:tc>
        <w:tc>
          <w:tcPr>
            <w:tcW w:w="14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ZDBF</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保险合同中约定的最低保费金额。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每次事故赔偿限额</w:t>
            </w:r>
          </w:p>
        </w:tc>
        <w:tc>
          <w:tcPr>
            <w:tcW w:w="14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MCSGPCXE</w:t>
            </w:r>
          </w:p>
        </w:tc>
        <w:tc>
          <w:tcPr>
            <w:tcW w:w="8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保险人对一次事故引起的索赔承担赔偿或给付保险金责任的最高限额。</w:t>
            </w:r>
          </w:p>
        </w:tc>
      </w:tr>
    </w:tbl>
    <w:p>
      <w:pPr>
        <w:pStyle w:val="44"/>
        <w:spacing w:line="560" w:lineRule="exact"/>
        <w:rPr>
          <w:rFonts w:ascii="Calibri" w:hAnsi="Calibri"/>
          <w:szCs w:val="22"/>
        </w:rPr>
      </w:pPr>
    </w:p>
    <w:p>
      <w:pPr>
        <w:pStyle w:val="51"/>
        <w:ind w:left="420"/>
      </w:pPr>
      <w:r>
        <w:rPr>
          <w:rFonts w:hint="eastAsia"/>
        </w:rPr>
        <w:t>道路客运承运人责任险保单扩展信息表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6"/>
        <w:gridCol w:w="1497"/>
        <w:gridCol w:w="780"/>
        <w:gridCol w:w="631"/>
        <w:gridCol w:w="631"/>
        <w:gridCol w:w="26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2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9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78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3906"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2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DLKYCYRZRXBDKZXXB</w:t>
            </w:r>
          </w:p>
        </w:tc>
        <w:tc>
          <w:tcPr>
            <w:tcW w:w="14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道路客运承运人责任险保单扩展信息表</w:t>
            </w:r>
          </w:p>
        </w:tc>
        <w:tc>
          <w:tcPr>
            <w:tcW w:w="7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1402</w:t>
            </w:r>
          </w:p>
        </w:tc>
        <w:tc>
          <w:tcPr>
            <w:tcW w:w="3906"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本表报送道路客运承运人责任险的承运人信息。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2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9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78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6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2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7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4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7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4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7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4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2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7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4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7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4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2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7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4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承运人地址所在省</w:t>
            </w:r>
          </w:p>
        </w:tc>
        <w:tc>
          <w:tcPr>
            <w:tcW w:w="14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CYRDZSZS</w:t>
            </w:r>
          </w:p>
        </w:tc>
        <w:tc>
          <w:tcPr>
            <w:tcW w:w="7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4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2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承运人地址</w:t>
            </w:r>
          </w:p>
        </w:tc>
        <w:tc>
          <w:tcPr>
            <w:tcW w:w="14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CYRDZ</w:t>
            </w:r>
          </w:p>
        </w:tc>
        <w:tc>
          <w:tcPr>
            <w:tcW w:w="7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4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道路运输经营许可证号码</w:t>
            </w:r>
          </w:p>
        </w:tc>
        <w:tc>
          <w:tcPr>
            <w:tcW w:w="14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DLYSJYXKZHM</w:t>
            </w:r>
          </w:p>
        </w:tc>
        <w:tc>
          <w:tcPr>
            <w:tcW w:w="7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017001</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64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承运人的道路运输经营许可证号码。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2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车辆数量</w:t>
            </w:r>
          </w:p>
        </w:tc>
        <w:tc>
          <w:tcPr>
            <w:tcW w:w="14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CLSL</w:t>
            </w:r>
          </w:p>
        </w:tc>
        <w:tc>
          <w:tcPr>
            <w:tcW w:w="7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4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承运人车辆的数量。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2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投保座位总数</w:t>
            </w:r>
          </w:p>
        </w:tc>
        <w:tc>
          <w:tcPr>
            <w:tcW w:w="14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TBZWZS</w:t>
            </w:r>
          </w:p>
        </w:tc>
        <w:tc>
          <w:tcPr>
            <w:tcW w:w="7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4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承运人投保座位总数。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2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营业年限</w:t>
            </w:r>
          </w:p>
        </w:tc>
        <w:tc>
          <w:tcPr>
            <w:tcW w:w="14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YYNX</w:t>
            </w:r>
          </w:p>
        </w:tc>
        <w:tc>
          <w:tcPr>
            <w:tcW w:w="7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4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承运人从开始营业到投保时的营业年限。单位为年，允许有小数。</w:t>
            </w:r>
          </w:p>
        </w:tc>
      </w:tr>
    </w:tbl>
    <w:p>
      <w:pPr>
        <w:pStyle w:val="44"/>
        <w:spacing w:line="560" w:lineRule="exact"/>
        <w:rPr>
          <w:rFonts w:ascii="Calibri" w:hAnsi="Calibri"/>
          <w:szCs w:val="22"/>
        </w:rPr>
      </w:pPr>
    </w:p>
    <w:p>
      <w:pPr>
        <w:pStyle w:val="6"/>
        <w:numPr>
          <w:ilvl w:val="0"/>
          <w:numId w:val="4"/>
        </w:numPr>
        <w:ind w:firstLine="600"/>
      </w:pPr>
      <w:r>
        <w:rPr>
          <w:rFonts w:hint="eastAsia"/>
        </w:rPr>
        <w:t>道路危险货物承运人责任险保单标的扩展信息表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2"/>
        <w:gridCol w:w="1454"/>
        <w:gridCol w:w="752"/>
        <w:gridCol w:w="581"/>
        <w:gridCol w:w="581"/>
        <w:gridCol w:w="2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70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5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75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3521"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DLWXHWCYRZRXBDBDKZXXB</w:t>
            </w:r>
          </w:p>
        </w:tc>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道路危险货物承运人责任险保单标的扩展信息表</w:t>
            </w:r>
          </w:p>
        </w:tc>
        <w:tc>
          <w:tcPr>
            <w:tcW w:w="7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1403</w:t>
            </w:r>
          </w:p>
        </w:tc>
        <w:tc>
          <w:tcPr>
            <w:tcW w:w="3521"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本表报送道路危险货物承运人责任险的承运信息。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70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5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75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58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58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35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7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7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7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7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7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7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道路运输经营许可证号</w:t>
            </w:r>
          </w:p>
        </w:tc>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DLYSJYXKZH</w:t>
            </w:r>
          </w:p>
        </w:tc>
        <w:tc>
          <w:tcPr>
            <w:tcW w:w="7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017001</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承运人的道路运输经营许可证编号。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2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运输地域范围</w:t>
            </w:r>
          </w:p>
        </w:tc>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YSDYFW</w:t>
            </w:r>
          </w:p>
        </w:tc>
        <w:tc>
          <w:tcPr>
            <w:tcW w:w="7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017003</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承运人的运输地域范围，填报中文描述。包括：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县内</w:t>
            </w:r>
            <w:r>
              <w:rPr>
                <w:rFonts w:hint="eastAsia" w:ascii="宋体" w:hAnsi="宋体" w:cs="宋体"/>
                <w:color w:val="000000"/>
                <w:kern w:val="0"/>
                <w:szCs w:val="21"/>
              </w:rPr>
              <w:br w:type="textWrapping"/>
            </w:r>
            <w:r>
              <w:rPr>
                <w:rFonts w:hint="eastAsia" w:ascii="宋体" w:hAnsi="宋体" w:cs="宋体"/>
                <w:color w:val="000000"/>
                <w:kern w:val="0"/>
                <w:szCs w:val="21"/>
              </w:rPr>
              <w:t>市内</w:t>
            </w:r>
            <w:r>
              <w:rPr>
                <w:rFonts w:hint="eastAsia" w:ascii="宋体" w:hAnsi="宋体" w:cs="宋体"/>
                <w:color w:val="000000"/>
                <w:kern w:val="0"/>
                <w:szCs w:val="21"/>
              </w:rPr>
              <w:br w:type="textWrapping"/>
            </w:r>
            <w:r>
              <w:rPr>
                <w:rFonts w:hint="eastAsia" w:ascii="宋体" w:hAnsi="宋体" w:cs="宋体"/>
                <w:color w:val="000000"/>
                <w:kern w:val="0"/>
                <w:szCs w:val="21"/>
              </w:rPr>
              <w:t>省内</w:t>
            </w:r>
            <w:r>
              <w:rPr>
                <w:rFonts w:hint="eastAsia" w:ascii="宋体" w:hAnsi="宋体" w:cs="宋体"/>
                <w:color w:val="000000"/>
                <w:kern w:val="0"/>
                <w:szCs w:val="21"/>
              </w:rPr>
              <w:br w:type="textWrapping"/>
            </w:r>
            <w:r>
              <w:rPr>
                <w:rFonts w:hint="eastAsia" w:ascii="宋体" w:hAnsi="宋体" w:cs="宋体"/>
                <w:color w:val="000000"/>
                <w:kern w:val="0"/>
                <w:szCs w:val="21"/>
              </w:rPr>
              <w:t>全国</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危险货物运输许可证号</w:t>
            </w:r>
          </w:p>
        </w:tc>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WXHWYSXKZH</w:t>
            </w:r>
          </w:p>
        </w:tc>
        <w:tc>
          <w:tcPr>
            <w:tcW w:w="7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001043</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承运人的危险货物运输许可证号。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危险品类别</w:t>
            </w:r>
          </w:p>
        </w:tc>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WXPLB</w:t>
            </w:r>
          </w:p>
        </w:tc>
        <w:tc>
          <w:tcPr>
            <w:tcW w:w="7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017007</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承运人的危险货物类别，对应《业务代码表》中的“危险品类别”。填报中文描述，例如：爆炸品、压缩气体等。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危险货物品名</w:t>
            </w:r>
          </w:p>
        </w:tc>
        <w:tc>
          <w:tcPr>
            <w:tcW w:w="14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WXHWPM</w:t>
            </w:r>
          </w:p>
        </w:tc>
        <w:tc>
          <w:tcPr>
            <w:tcW w:w="7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危险货物品名。</w:t>
            </w:r>
          </w:p>
        </w:tc>
      </w:tr>
    </w:tbl>
    <w:p>
      <w:pPr>
        <w:pStyle w:val="44"/>
        <w:spacing w:line="560" w:lineRule="exact"/>
        <w:rPr>
          <w:rFonts w:ascii="Calibri" w:hAnsi="Calibri"/>
          <w:szCs w:val="22"/>
        </w:rPr>
      </w:pPr>
    </w:p>
    <w:p>
      <w:pPr>
        <w:pStyle w:val="6"/>
        <w:numPr>
          <w:ilvl w:val="0"/>
          <w:numId w:val="4"/>
        </w:numPr>
        <w:ind w:firstLine="600"/>
      </w:pPr>
      <w:r>
        <w:rPr>
          <w:rFonts w:hint="eastAsia"/>
        </w:rPr>
        <w:t>环境污染责任险企业保单扩展信息表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2"/>
        <w:gridCol w:w="1285"/>
        <w:gridCol w:w="803"/>
        <w:gridCol w:w="657"/>
        <w:gridCol w:w="657"/>
        <w:gridCol w:w="2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23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28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0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109"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HJWRZRXQYBDKZXXB</w:t>
            </w:r>
          </w:p>
        </w:tc>
        <w:tc>
          <w:tcPr>
            <w:tcW w:w="12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环境污染责任险企业保单扩展信息表</w:t>
            </w:r>
          </w:p>
        </w:tc>
        <w:tc>
          <w:tcPr>
            <w:tcW w:w="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1404</w:t>
            </w:r>
          </w:p>
        </w:tc>
        <w:tc>
          <w:tcPr>
            <w:tcW w:w="4109"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本表报送环境污染责任险的企业信息。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23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28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0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5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5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79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2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2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2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2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2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2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2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2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2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2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企业名称</w:t>
            </w:r>
          </w:p>
        </w:tc>
        <w:tc>
          <w:tcPr>
            <w:tcW w:w="12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QYMC</w:t>
            </w:r>
          </w:p>
        </w:tc>
        <w:tc>
          <w:tcPr>
            <w:tcW w:w="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企业的注册名称。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企业地址所在省</w:t>
            </w:r>
          </w:p>
        </w:tc>
        <w:tc>
          <w:tcPr>
            <w:tcW w:w="12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QYDZSZS</w:t>
            </w:r>
          </w:p>
        </w:tc>
        <w:tc>
          <w:tcPr>
            <w:tcW w:w="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2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企业地址</w:t>
            </w:r>
          </w:p>
        </w:tc>
        <w:tc>
          <w:tcPr>
            <w:tcW w:w="12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QYDZ</w:t>
            </w:r>
          </w:p>
        </w:tc>
        <w:tc>
          <w:tcPr>
            <w:tcW w:w="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2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行业</w:t>
            </w:r>
          </w:p>
        </w:tc>
        <w:tc>
          <w:tcPr>
            <w:tcW w:w="12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HY</w:t>
            </w:r>
          </w:p>
        </w:tc>
        <w:tc>
          <w:tcPr>
            <w:tcW w:w="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013003</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按企业、事业单位、机关团体和个体从业人员所从事的生产经营活动或其他社会经济活动的性质进行行业分类，对应《业务代码表》中的“国民经济行业分类”，填报中文描述。例如：农业、林业等。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2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从业人员数</w:t>
            </w:r>
          </w:p>
        </w:tc>
        <w:tc>
          <w:tcPr>
            <w:tcW w:w="12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CYRYS</w:t>
            </w:r>
          </w:p>
        </w:tc>
        <w:tc>
          <w:tcPr>
            <w:tcW w:w="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标的企业的从业人员数。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2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销售额</w:t>
            </w:r>
          </w:p>
        </w:tc>
        <w:tc>
          <w:tcPr>
            <w:tcW w:w="12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XSE</w:t>
            </w:r>
          </w:p>
        </w:tc>
        <w:tc>
          <w:tcPr>
            <w:tcW w:w="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标的企业的最近年度销售额。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标的所处位置</w:t>
            </w:r>
          </w:p>
        </w:tc>
        <w:tc>
          <w:tcPr>
            <w:tcW w:w="12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BDSCWZ</w:t>
            </w:r>
          </w:p>
        </w:tc>
        <w:tc>
          <w:tcPr>
            <w:tcW w:w="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008011</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9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企业标的地址描述，对应《业务代码表》中的“标的所处位置”，填报中文描述。对应业务表中的标的所处位置。</w:t>
            </w:r>
          </w:p>
        </w:tc>
      </w:tr>
    </w:tbl>
    <w:p>
      <w:pPr>
        <w:pStyle w:val="44"/>
        <w:spacing w:line="560" w:lineRule="exact"/>
        <w:rPr>
          <w:rFonts w:ascii="Calibri" w:hAnsi="Calibri"/>
          <w:szCs w:val="22"/>
        </w:rPr>
      </w:pPr>
    </w:p>
    <w:p>
      <w:pPr>
        <w:pStyle w:val="6"/>
        <w:numPr>
          <w:ilvl w:val="0"/>
          <w:numId w:val="4"/>
        </w:numPr>
        <w:ind w:firstLine="600"/>
      </w:pPr>
      <w:r>
        <w:rPr>
          <w:rFonts w:hint="eastAsia"/>
        </w:rPr>
        <w:t>校方责任险学校保单扩展信息表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7"/>
        <w:gridCol w:w="1343"/>
        <w:gridCol w:w="812"/>
        <w:gridCol w:w="681"/>
        <w:gridCol w:w="681"/>
        <w:gridCol w:w="2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97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297"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XFZRXXXBDKZXXB</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校方责任险学校保单扩展信息表</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1405</w:t>
            </w:r>
          </w:p>
        </w:tc>
        <w:tc>
          <w:tcPr>
            <w:tcW w:w="4297"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本表报送校方责任险的学校信息。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97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8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8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93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学校名称</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XXMC</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学校的名称。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学校地址所在省</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XXDZSZS</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学校地址所在省，默认值000000，对应《业务代码表》中的“县及县以上行政区划”，填报中文描述。例如：北京市、天津市、河北省等。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学校地址</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XXDZ</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学校地址，包含省市区县及街道名称和门牌号码。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学校类型</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XXLX</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014006</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学校的类型，对应《业务代码表》中的“学校类型”，填报中文描述。例如：小学、大学等。对应业务表中的学校类型。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学校性质</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XXXZ</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014007</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学校的性质，填报中文描述。包括：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公立</w:t>
            </w:r>
            <w:r>
              <w:rPr>
                <w:rFonts w:hint="eastAsia" w:ascii="宋体" w:hAnsi="宋体" w:cs="宋体"/>
                <w:color w:val="000000"/>
                <w:kern w:val="0"/>
                <w:szCs w:val="21"/>
              </w:rPr>
              <w:br w:type="textWrapping"/>
            </w:r>
            <w:r>
              <w:rPr>
                <w:rFonts w:hint="eastAsia" w:ascii="宋体" w:hAnsi="宋体" w:cs="宋体"/>
                <w:color w:val="000000"/>
                <w:kern w:val="0"/>
                <w:szCs w:val="21"/>
              </w:rPr>
              <w:t>私立</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投保学生人数</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TBXSRS</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学校的投保学生人数。</w:t>
            </w:r>
          </w:p>
        </w:tc>
      </w:tr>
    </w:tbl>
    <w:p>
      <w:pPr>
        <w:pStyle w:val="44"/>
        <w:spacing w:line="560" w:lineRule="exact"/>
        <w:rPr>
          <w:rFonts w:ascii="Calibri" w:hAnsi="Calibri"/>
          <w:szCs w:val="22"/>
        </w:rPr>
      </w:pPr>
    </w:p>
    <w:p>
      <w:pPr>
        <w:pStyle w:val="6"/>
        <w:numPr>
          <w:ilvl w:val="0"/>
          <w:numId w:val="4"/>
        </w:numPr>
        <w:ind w:firstLine="600"/>
      </w:pPr>
      <w:r>
        <w:rPr>
          <w:rFonts w:hint="eastAsia"/>
        </w:rPr>
        <w:t>职业院校实习责任险职业院校保单扩展信息表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3"/>
        <w:gridCol w:w="1384"/>
        <w:gridCol w:w="776"/>
        <w:gridCol w:w="605"/>
        <w:gridCol w:w="605"/>
        <w:gridCol w:w="2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56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8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77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3706"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5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ZYYXSXZRXZYYXBDKZXXB</w:t>
            </w:r>
          </w:p>
        </w:tc>
        <w:tc>
          <w:tcPr>
            <w:tcW w:w="13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职业院校实习责任险职业院校保单扩展信息表</w:t>
            </w:r>
          </w:p>
        </w:tc>
        <w:tc>
          <w:tcPr>
            <w:tcW w:w="7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1406</w:t>
            </w:r>
          </w:p>
        </w:tc>
        <w:tc>
          <w:tcPr>
            <w:tcW w:w="3706"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本表报送职业院校实习责任险职业院校信息。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56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8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77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0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0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4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5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7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9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5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7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9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5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7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9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5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7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9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5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7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9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7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9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院校名称</w:t>
            </w:r>
          </w:p>
        </w:tc>
        <w:tc>
          <w:tcPr>
            <w:tcW w:w="13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YXMC</w:t>
            </w:r>
          </w:p>
        </w:tc>
        <w:tc>
          <w:tcPr>
            <w:tcW w:w="7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9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职业院校的名称。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5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院校地址所在省</w:t>
            </w:r>
          </w:p>
        </w:tc>
        <w:tc>
          <w:tcPr>
            <w:tcW w:w="13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YXDZSZS</w:t>
            </w:r>
          </w:p>
        </w:tc>
        <w:tc>
          <w:tcPr>
            <w:tcW w:w="7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9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院校地址所在省，默认值000000，对应《业务代码表》中的“县及县以上行政区划”，填报中文描述。例如：北京市、天津市、河北省等。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院校地址</w:t>
            </w:r>
          </w:p>
        </w:tc>
        <w:tc>
          <w:tcPr>
            <w:tcW w:w="13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YXDZ</w:t>
            </w:r>
          </w:p>
        </w:tc>
        <w:tc>
          <w:tcPr>
            <w:tcW w:w="7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9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院校地址，包含省市区县及街道名称和门牌号码。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25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学校性质</w:t>
            </w:r>
          </w:p>
        </w:tc>
        <w:tc>
          <w:tcPr>
            <w:tcW w:w="13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XXXZ</w:t>
            </w:r>
          </w:p>
        </w:tc>
        <w:tc>
          <w:tcPr>
            <w:tcW w:w="7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014007</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9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职业院校的院校性质，填报中文描述。包括：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公立</w:t>
            </w:r>
            <w:r>
              <w:rPr>
                <w:rFonts w:hint="eastAsia" w:ascii="宋体" w:hAnsi="宋体" w:cs="宋体"/>
                <w:color w:val="000000"/>
                <w:kern w:val="0"/>
                <w:szCs w:val="21"/>
              </w:rPr>
              <w:br w:type="textWrapping"/>
            </w:r>
            <w:r>
              <w:rPr>
                <w:rFonts w:hint="eastAsia" w:ascii="宋体" w:hAnsi="宋体" w:cs="宋体"/>
                <w:color w:val="000000"/>
                <w:kern w:val="0"/>
                <w:szCs w:val="21"/>
              </w:rPr>
              <w:t>私立</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投保学生人数</w:t>
            </w:r>
          </w:p>
        </w:tc>
        <w:tc>
          <w:tcPr>
            <w:tcW w:w="13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TBXSRS</w:t>
            </w:r>
          </w:p>
        </w:tc>
        <w:tc>
          <w:tcPr>
            <w:tcW w:w="7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49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职业院校的投保学生人数。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5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教职员工人数</w:t>
            </w:r>
          </w:p>
        </w:tc>
        <w:tc>
          <w:tcPr>
            <w:tcW w:w="13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JZYGRS</w:t>
            </w:r>
          </w:p>
        </w:tc>
        <w:tc>
          <w:tcPr>
            <w:tcW w:w="7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49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职业院校的教职工人数。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5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本学年度顶岗实习人数</w:t>
            </w:r>
          </w:p>
        </w:tc>
        <w:tc>
          <w:tcPr>
            <w:tcW w:w="138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BXNDDGSXRS</w:t>
            </w:r>
          </w:p>
        </w:tc>
        <w:tc>
          <w:tcPr>
            <w:tcW w:w="7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9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职业院校的本学年度顶岗实习人数。</w:t>
            </w:r>
          </w:p>
        </w:tc>
      </w:tr>
    </w:tbl>
    <w:p>
      <w:pPr>
        <w:pStyle w:val="44"/>
        <w:spacing w:line="560" w:lineRule="exact"/>
        <w:rPr>
          <w:rFonts w:ascii="Calibri" w:hAnsi="Calibri"/>
          <w:szCs w:val="22"/>
        </w:rPr>
      </w:pPr>
    </w:p>
    <w:p>
      <w:pPr>
        <w:pStyle w:val="6"/>
        <w:numPr>
          <w:ilvl w:val="0"/>
          <w:numId w:val="4"/>
        </w:numPr>
        <w:ind w:firstLine="600"/>
      </w:pPr>
      <w:r>
        <w:rPr>
          <w:rFonts w:hint="eastAsia"/>
        </w:rPr>
        <w:t>养老机构责任险养老机构保单扩展信息表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9"/>
        <w:gridCol w:w="1254"/>
        <w:gridCol w:w="808"/>
        <w:gridCol w:w="644"/>
        <w:gridCol w:w="644"/>
        <w:gridCol w:w="2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35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25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0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3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YLJGZRXYLJGBDKZXXB</w:t>
            </w:r>
          </w:p>
        </w:tc>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养老机构责任险养老机构保单扩展信息表</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1407</w:t>
            </w:r>
          </w:p>
        </w:tc>
        <w:tc>
          <w:tcPr>
            <w:tcW w:w="40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本表报送养老机构责任险养老机构信息。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35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25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3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2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3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2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3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2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3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2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3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2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2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养老机构名称</w:t>
            </w:r>
          </w:p>
        </w:tc>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YLJGMC1</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2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养老机构的名称。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3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养老机构地址所在省</w:t>
            </w:r>
          </w:p>
        </w:tc>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YLJGDZSZS</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2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养老机构地址所在省，默认值000000，对应《业务代码表》中的“县及县以上行政区划”，填报中文描述。例如：北京市、天津市、河北省等。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养老机构地址</w:t>
            </w:r>
          </w:p>
        </w:tc>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YLJGDZ1</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2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养老机构地址，包含省市区县及街道名称和门牌号码。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23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养老机构性质</w:t>
            </w:r>
          </w:p>
        </w:tc>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YLJGXZ1</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014005</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2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养老机构的性质，填报中文描述。包括：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老年社会福利院</w:t>
            </w:r>
            <w:r>
              <w:rPr>
                <w:rFonts w:hint="eastAsia" w:ascii="宋体" w:hAnsi="宋体" w:cs="宋体"/>
                <w:color w:val="000000"/>
                <w:kern w:val="0"/>
                <w:szCs w:val="21"/>
              </w:rPr>
              <w:br w:type="textWrapping"/>
            </w:r>
            <w:r>
              <w:rPr>
                <w:rFonts w:hint="eastAsia" w:ascii="宋体" w:hAnsi="宋体" w:cs="宋体"/>
                <w:color w:val="000000"/>
                <w:kern w:val="0"/>
                <w:szCs w:val="21"/>
              </w:rPr>
              <w:t>养老院或老人院</w:t>
            </w:r>
            <w:r>
              <w:rPr>
                <w:rFonts w:hint="eastAsia" w:ascii="宋体" w:hAnsi="宋体" w:cs="宋体"/>
                <w:color w:val="000000"/>
                <w:kern w:val="0"/>
                <w:szCs w:val="21"/>
              </w:rPr>
              <w:br w:type="textWrapping"/>
            </w:r>
            <w:r>
              <w:rPr>
                <w:rFonts w:hint="eastAsia" w:ascii="宋体" w:hAnsi="宋体" w:cs="宋体"/>
                <w:color w:val="000000"/>
                <w:kern w:val="0"/>
                <w:szCs w:val="21"/>
              </w:rPr>
              <w:t>护老院</w:t>
            </w:r>
            <w:r>
              <w:rPr>
                <w:rFonts w:hint="eastAsia" w:ascii="宋体" w:hAnsi="宋体" w:cs="宋体"/>
                <w:color w:val="000000"/>
                <w:kern w:val="0"/>
                <w:szCs w:val="21"/>
              </w:rPr>
              <w:br w:type="textWrapping"/>
            </w:r>
            <w:r>
              <w:rPr>
                <w:rFonts w:hint="eastAsia" w:ascii="宋体" w:hAnsi="宋体" w:cs="宋体"/>
                <w:color w:val="000000"/>
                <w:kern w:val="0"/>
                <w:szCs w:val="21"/>
              </w:rPr>
              <w:t>敬老院</w:t>
            </w:r>
            <w:r>
              <w:rPr>
                <w:rFonts w:hint="eastAsia" w:ascii="宋体" w:hAnsi="宋体" w:cs="宋体"/>
                <w:color w:val="000000"/>
                <w:kern w:val="0"/>
                <w:szCs w:val="21"/>
              </w:rPr>
              <w:br w:type="textWrapping"/>
            </w:r>
            <w:r>
              <w:rPr>
                <w:rFonts w:hint="eastAsia" w:ascii="宋体" w:hAnsi="宋体" w:cs="宋体"/>
                <w:color w:val="000000"/>
                <w:kern w:val="0"/>
                <w:szCs w:val="21"/>
              </w:rPr>
              <w:t>托老所</w:t>
            </w:r>
            <w:r>
              <w:rPr>
                <w:rFonts w:hint="eastAsia" w:ascii="宋体" w:hAnsi="宋体" w:cs="宋体"/>
                <w:color w:val="000000"/>
                <w:kern w:val="0"/>
                <w:szCs w:val="21"/>
              </w:rPr>
              <w:br w:type="textWrapping"/>
            </w:r>
            <w:r>
              <w:rPr>
                <w:rFonts w:hint="eastAsia" w:ascii="宋体" w:hAnsi="宋体" w:cs="宋体"/>
                <w:color w:val="000000"/>
                <w:kern w:val="0"/>
                <w:szCs w:val="21"/>
              </w:rPr>
              <w:t>老年人服务中心</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床位数</w:t>
            </w:r>
          </w:p>
        </w:tc>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CWS</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2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养老机构的床位数。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护理人员人数</w:t>
            </w:r>
          </w:p>
        </w:tc>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HLRYRS</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2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养老机构的护理人员人数。</w:t>
            </w:r>
          </w:p>
        </w:tc>
      </w:tr>
    </w:tbl>
    <w:p>
      <w:pPr>
        <w:pStyle w:val="44"/>
        <w:spacing w:line="560" w:lineRule="exact"/>
        <w:rPr>
          <w:rFonts w:ascii="Calibri" w:hAnsi="Calibri"/>
          <w:szCs w:val="22"/>
        </w:rPr>
      </w:pPr>
    </w:p>
    <w:p>
      <w:pPr>
        <w:pStyle w:val="6"/>
        <w:numPr>
          <w:ilvl w:val="0"/>
          <w:numId w:val="4"/>
        </w:numPr>
        <w:ind w:firstLine="600"/>
      </w:pPr>
      <w:r>
        <w:rPr>
          <w:rFonts w:hint="eastAsia"/>
        </w:rPr>
        <w:t>供电责任险供电机构保单扩展信息表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1"/>
        <w:gridCol w:w="1297"/>
        <w:gridCol w:w="807"/>
        <w:gridCol w:w="660"/>
        <w:gridCol w:w="660"/>
        <w:gridCol w:w="2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29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0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134"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GDZRXGDJGBDKZXXB</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供电责任险供电机构保单扩展信息表</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1408</w:t>
            </w:r>
          </w:p>
        </w:tc>
        <w:tc>
          <w:tcPr>
            <w:tcW w:w="4134"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本表报送供电责任险供电机构信息。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29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0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6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6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1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营业场所地址所在省</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YYCSDZSZS</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营业场所地址所在省，默认值000000，对应《业务代码表》中的“县及县以上行政区划”，填报中文描述。例如：北京市、天津市、河北省等。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营业场所地址</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YYCSDZ</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营业场所地址，包含省市区县及街道名称和门牌号码。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供电业务许可证号</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GDYWXKZH</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001043</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供电机构的业务许可证编号。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21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供电机构类别</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GDJGLB</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013005</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供电机构的机构类别，填报中文描述。包括：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电力能源-电网（国家级）</w:t>
            </w:r>
            <w:r>
              <w:rPr>
                <w:rFonts w:hint="eastAsia" w:ascii="宋体" w:hAnsi="宋体" w:cs="宋体"/>
                <w:color w:val="000000"/>
                <w:kern w:val="0"/>
                <w:szCs w:val="21"/>
              </w:rPr>
              <w:br w:type="textWrapping"/>
            </w:r>
            <w:r>
              <w:rPr>
                <w:rFonts w:hint="eastAsia" w:ascii="宋体" w:hAnsi="宋体" w:cs="宋体"/>
                <w:color w:val="000000"/>
                <w:kern w:val="0"/>
                <w:szCs w:val="21"/>
              </w:rPr>
              <w:t>电力能源-电网（区域级）</w:t>
            </w:r>
            <w:r>
              <w:rPr>
                <w:rFonts w:hint="eastAsia" w:ascii="宋体" w:hAnsi="宋体" w:cs="宋体"/>
                <w:color w:val="000000"/>
                <w:kern w:val="0"/>
                <w:szCs w:val="21"/>
              </w:rPr>
              <w:br w:type="textWrapping"/>
            </w:r>
            <w:r>
              <w:rPr>
                <w:rFonts w:hint="eastAsia" w:ascii="宋体" w:hAnsi="宋体" w:cs="宋体"/>
                <w:color w:val="000000"/>
                <w:kern w:val="0"/>
                <w:szCs w:val="21"/>
              </w:rPr>
              <w:t>电力能源-电网（省级）</w:t>
            </w:r>
            <w:r>
              <w:rPr>
                <w:rFonts w:hint="eastAsia" w:ascii="宋体" w:hAnsi="宋体" w:cs="宋体"/>
                <w:color w:val="000000"/>
                <w:kern w:val="0"/>
                <w:szCs w:val="21"/>
              </w:rPr>
              <w:br w:type="textWrapping"/>
            </w:r>
            <w:r>
              <w:rPr>
                <w:rFonts w:hint="eastAsia" w:ascii="宋体" w:hAnsi="宋体" w:cs="宋体"/>
                <w:color w:val="000000"/>
                <w:kern w:val="0"/>
                <w:szCs w:val="21"/>
              </w:rPr>
              <w:t>电力能源-电网（市级）</w:t>
            </w:r>
            <w:r>
              <w:rPr>
                <w:rFonts w:hint="eastAsia" w:ascii="宋体" w:hAnsi="宋体" w:cs="宋体"/>
                <w:color w:val="000000"/>
                <w:kern w:val="0"/>
                <w:szCs w:val="21"/>
              </w:rPr>
              <w:br w:type="textWrapping"/>
            </w:r>
            <w:r>
              <w:rPr>
                <w:rFonts w:hint="eastAsia" w:ascii="宋体" w:hAnsi="宋体" w:cs="宋体"/>
                <w:color w:val="000000"/>
                <w:kern w:val="0"/>
                <w:szCs w:val="21"/>
              </w:rPr>
              <w:t>电力能源-电网（县级）</w:t>
            </w:r>
            <w:r>
              <w:rPr>
                <w:rFonts w:hint="eastAsia" w:ascii="宋体" w:hAnsi="宋体" w:cs="宋体"/>
                <w:color w:val="000000"/>
                <w:kern w:val="0"/>
                <w:szCs w:val="21"/>
              </w:rPr>
              <w:br w:type="textWrapping"/>
            </w:r>
            <w:r>
              <w:rPr>
                <w:rFonts w:hint="eastAsia" w:ascii="宋体" w:hAnsi="宋体" w:cs="宋体"/>
                <w:color w:val="000000"/>
                <w:kern w:val="0"/>
                <w:szCs w:val="21"/>
              </w:rPr>
              <w:t>电力能源-电网（其他）</w:t>
            </w:r>
            <w:r>
              <w:rPr>
                <w:rFonts w:hint="eastAsia" w:ascii="宋体" w:hAnsi="宋体" w:cs="宋体"/>
                <w:color w:val="000000"/>
                <w:kern w:val="0"/>
                <w:szCs w:val="21"/>
              </w:rPr>
              <w:br w:type="textWrapping"/>
            </w:r>
            <w:r>
              <w:rPr>
                <w:rFonts w:hint="eastAsia" w:ascii="宋体" w:hAnsi="宋体" w:cs="宋体"/>
                <w:color w:val="000000"/>
                <w:kern w:val="0"/>
                <w:szCs w:val="21"/>
              </w:rPr>
              <w:t>临时工</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年供电量</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NGDL</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供电机构的年供电量。</w:t>
            </w:r>
          </w:p>
        </w:tc>
      </w:tr>
    </w:tbl>
    <w:p>
      <w:pPr>
        <w:pStyle w:val="44"/>
        <w:spacing w:line="560" w:lineRule="exact"/>
        <w:rPr>
          <w:rFonts w:ascii="Calibri" w:hAnsi="Calibri"/>
          <w:szCs w:val="22"/>
        </w:rPr>
      </w:pPr>
    </w:p>
    <w:p>
      <w:pPr>
        <w:pStyle w:val="6"/>
        <w:numPr>
          <w:ilvl w:val="0"/>
          <w:numId w:val="4"/>
        </w:numPr>
        <w:ind w:firstLine="600"/>
      </w:pPr>
      <w:r>
        <w:rPr>
          <w:rFonts w:hint="eastAsia"/>
        </w:rPr>
        <w:t>旅行社责任险旅行社保单扩展信息表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4"/>
        <w:gridCol w:w="1301"/>
        <w:gridCol w:w="812"/>
        <w:gridCol w:w="664"/>
        <w:gridCol w:w="664"/>
        <w:gridCol w:w="2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5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0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162"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LXSZRXLXSBDKZXXB</w:t>
            </w:r>
          </w:p>
        </w:tc>
        <w:tc>
          <w:tcPr>
            <w:tcW w:w="13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旅行社责任险旅行社保单扩展信息表</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1409</w:t>
            </w:r>
          </w:p>
        </w:tc>
        <w:tc>
          <w:tcPr>
            <w:tcW w:w="4162"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本表报送旅行社责任保险旅行社信息。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5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0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6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6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3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旅行社名称</w:t>
            </w:r>
          </w:p>
        </w:tc>
        <w:tc>
          <w:tcPr>
            <w:tcW w:w="13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LXSMC</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旅行社的名称。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上年接待量</w:t>
            </w:r>
          </w:p>
        </w:tc>
        <w:tc>
          <w:tcPr>
            <w:tcW w:w="13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SNJDL</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旅行社上一年度的接待量，按人/天统计。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许可证经营业务</w:t>
            </w:r>
          </w:p>
        </w:tc>
        <w:tc>
          <w:tcPr>
            <w:tcW w:w="13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XKZJYYW</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旅行社业务经营许可证上对应的业务经营范围。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21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旅行社类别</w:t>
            </w:r>
          </w:p>
        </w:tc>
        <w:tc>
          <w:tcPr>
            <w:tcW w:w="13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LXSLB</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014010</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旅行社的类别，填报中文描述。包括：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国内旅行社</w:t>
            </w:r>
            <w:r>
              <w:rPr>
                <w:rFonts w:hint="eastAsia" w:ascii="宋体" w:hAnsi="宋体" w:cs="宋体"/>
                <w:color w:val="000000"/>
                <w:kern w:val="0"/>
                <w:szCs w:val="21"/>
              </w:rPr>
              <w:br w:type="textWrapping"/>
            </w:r>
            <w:r>
              <w:rPr>
                <w:rFonts w:hint="eastAsia" w:ascii="宋体" w:hAnsi="宋体" w:cs="宋体"/>
                <w:color w:val="000000"/>
                <w:kern w:val="0"/>
                <w:szCs w:val="21"/>
              </w:rPr>
              <w:t>国际旅行社</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bl>
    <w:p>
      <w:pPr>
        <w:pStyle w:val="44"/>
        <w:spacing w:line="560" w:lineRule="exact"/>
        <w:rPr>
          <w:rFonts w:ascii="Calibri" w:hAnsi="Calibri"/>
          <w:szCs w:val="22"/>
        </w:rPr>
      </w:pPr>
    </w:p>
    <w:p>
      <w:pPr>
        <w:pStyle w:val="6"/>
        <w:numPr>
          <w:ilvl w:val="0"/>
          <w:numId w:val="4"/>
        </w:numPr>
        <w:ind w:firstLine="600"/>
      </w:pPr>
      <w:r>
        <w:rPr>
          <w:rFonts w:hint="eastAsia"/>
        </w:rPr>
        <w:t>特种设备第三者责任险特种设备保单标的扩展信息表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4"/>
        <w:gridCol w:w="1144"/>
        <w:gridCol w:w="794"/>
        <w:gridCol w:w="595"/>
        <w:gridCol w:w="595"/>
        <w:gridCol w:w="2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86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1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79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3627"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TZSBDSZZRXTZSBBDBDKZXXB</w:t>
            </w:r>
          </w:p>
        </w:tc>
        <w:tc>
          <w:tcPr>
            <w:tcW w:w="11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特种设备第三者责任险特种设备保单标的扩展信息表</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1410</w:t>
            </w:r>
          </w:p>
        </w:tc>
        <w:tc>
          <w:tcPr>
            <w:tcW w:w="3627"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本表报送特种设备第三者责任险特种设备信息。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86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1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79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59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59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4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1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3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1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3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1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3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1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3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1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3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1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3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设备名称</w:t>
            </w:r>
          </w:p>
        </w:tc>
        <w:tc>
          <w:tcPr>
            <w:tcW w:w="11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SBMC</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3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特种设备的名称。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特种设备使用证号</w:t>
            </w:r>
          </w:p>
        </w:tc>
        <w:tc>
          <w:tcPr>
            <w:tcW w:w="11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TZSBSYZH</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019006</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3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特种设备的特种设备使用证号。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特种设备种类</w:t>
            </w:r>
          </w:p>
        </w:tc>
        <w:tc>
          <w:tcPr>
            <w:tcW w:w="11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TZSBZL</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019007</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3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特种设备的种类，对应《业务代码表》中的“特种设备种类”，填报中文描述。例如：锅炉、气瓶等。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86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检验期限终止日期</w:t>
            </w:r>
          </w:p>
        </w:tc>
        <w:tc>
          <w:tcPr>
            <w:tcW w:w="11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JYQXZZRQ</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43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特种设备的检验期限截止日期。</w:t>
            </w:r>
          </w:p>
        </w:tc>
      </w:tr>
    </w:tbl>
    <w:p>
      <w:pPr>
        <w:pStyle w:val="44"/>
        <w:spacing w:line="560" w:lineRule="exact"/>
        <w:rPr>
          <w:rFonts w:ascii="Calibri" w:hAnsi="Calibri"/>
          <w:szCs w:val="22"/>
        </w:rPr>
      </w:pPr>
    </w:p>
    <w:p>
      <w:pPr>
        <w:pStyle w:val="6"/>
        <w:numPr>
          <w:ilvl w:val="0"/>
          <w:numId w:val="4"/>
        </w:numPr>
        <w:ind w:firstLine="600"/>
      </w:pPr>
      <w:r>
        <w:rPr>
          <w:rFonts w:hint="eastAsia"/>
        </w:rPr>
        <w:t>公众责任险场所保单扩展信息表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1762"/>
        <w:gridCol w:w="786"/>
        <w:gridCol w:w="646"/>
        <w:gridCol w:w="646"/>
        <w:gridCol w:w="2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85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76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78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025"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GZZRXCSBDKZXXB</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公众责任险场所保单扩展信息表</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1411</w:t>
            </w:r>
          </w:p>
        </w:tc>
        <w:tc>
          <w:tcPr>
            <w:tcW w:w="4025"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本表报送公众责任险场所信息。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85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76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78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73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营业场所地址所在省</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YYCSDZSZS</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营业场所地址所在省，默认值000000，对应《业务代码表》中的“县及县以上行政区划”，填报中文描述。例如：北京市、天津市、河北省等。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营业场所地址</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YYCSDZ</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营业场所地址，包含省市区县及街道名称和门牌号码。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营业场所面积</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YYCSMJ</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001010</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场所的营业面积面积。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场所行业</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CSHY</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013003</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按企业、事业单位、机关团体和个体从业人员所从事的生产经营活动或其他社会经济活动的性质进行行业分类，对应《业务代码表》中的“国民经济行业分类”，填报中文描述。例如：农业、林业等。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建筑结构</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JZJG</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012004</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场所的建筑结构，对应《业务代码表》中的“建筑结构”，填报中文描述。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营业场所在地下或半地下标志</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YYCSZDXHBDXBZ</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保险责任中包含火灾，必填。场所是否在地下或半地下。填报中文描述：是，否。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场所内有无宿舍或住宅标志</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CSNYWSSHZZBZ</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保险责任中包含火灾，必填。场所内有无宿舍或住宅。填报中文描述：是，否。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防火设施标志</w:t>
            </w:r>
          </w:p>
        </w:tc>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FHSSBZ</w:t>
            </w:r>
          </w:p>
        </w:tc>
        <w:tc>
          <w:tcPr>
            <w:tcW w:w="78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保险责任中包含火灾，必填。场所是否有防火设施。填报中文描述：是，否。</w:t>
            </w:r>
          </w:p>
        </w:tc>
      </w:tr>
    </w:tbl>
    <w:p>
      <w:pPr>
        <w:pStyle w:val="44"/>
        <w:spacing w:line="560" w:lineRule="exact"/>
        <w:rPr>
          <w:rFonts w:ascii="Calibri" w:hAnsi="Calibri"/>
          <w:szCs w:val="22"/>
        </w:rPr>
      </w:pPr>
    </w:p>
    <w:p>
      <w:pPr>
        <w:pStyle w:val="6"/>
        <w:numPr>
          <w:ilvl w:val="0"/>
          <w:numId w:val="4"/>
        </w:numPr>
        <w:ind w:firstLine="600"/>
      </w:pPr>
      <w:r>
        <w:rPr>
          <w:rFonts w:hint="eastAsia"/>
        </w:rPr>
        <w:t>建筑工程质量责任险工程保单扩展信息表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7"/>
        <w:gridCol w:w="1368"/>
        <w:gridCol w:w="799"/>
        <w:gridCol w:w="633"/>
        <w:gridCol w:w="633"/>
        <w:gridCol w:w="2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3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79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3925"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JZGCZLZRXGCBDKZXXB</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建筑工程质量责任险工程保单扩展信息表</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1412</w:t>
            </w:r>
          </w:p>
        </w:tc>
        <w:tc>
          <w:tcPr>
            <w:tcW w:w="3925"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本表报送建筑工程质量责任险工程信息。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3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79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3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3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65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工程名称</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GCMC</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建筑工程项目的名称。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工程地址所在省</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GCDZSZS</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工程地址</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GCDZ</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工程造价</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GCZJ</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建筑工程的造价。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工程类别</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GCLB</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019001</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建筑工程项目的类别。对应《业务代码表》中的“工程类别”，填报中文描述。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技术风险检查机构</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JSFXJCJG</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建筑工程项目的技术风险检查机构名称。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工程施工企业资质等级</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GCSGQYZZDJ</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019002</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建筑工程项目的施工单位资质等级，填报中文描述。包括：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特级</w:t>
            </w:r>
            <w:r>
              <w:rPr>
                <w:rFonts w:hint="eastAsia" w:ascii="宋体" w:hAnsi="宋体" w:cs="宋体"/>
                <w:color w:val="000000"/>
                <w:kern w:val="0"/>
                <w:szCs w:val="21"/>
              </w:rPr>
              <w:br w:type="textWrapping"/>
            </w:r>
            <w:r>
              <w:rPr>
                <w:rFonts w:hint="eastAsia" w:ascii="宋体" w:hAnsi="宋体" w:cs="宋体"/>
                <w:color w:val="000000"/>
                <w:kern w:val="0"/>
                <w:szCs w:val="21"/>
              </w:rPr>
              <w:t>一级</w:t>
            </w:r>
            <w:r>
              <w:rPr>
                <w:rFonts w:hint="eastAsia" w:ascii="宋体" w:hAnsi="宋体" w:cs="宋体"/>
                <w:color w:val="000000"/>
                <w:kern w:val="0"/>
                <w:szCs w:val="21"/>
              </w:rPr>
              <w:br w:type="textWrapping"/>
            </w:r>
            <w:r>
              <w:rPr>
                <w:rFonts w:hint="eastAsia" w:ascii="宋体" w:hAnsi="宋体" w:cs="宋体"/>
                <w:color w:val="000000"/>
                <w:kern w:val="0"/>
                <w:szCs w:val="21"/>
              </w:rPr>
              <w:t>二级</w:t>
            </w:r>
            <w:r>
              <w:rPr>
                <w:rFonts w:hint="eastAsia" w:ascii="宋体" w:hAnsi="宋体" w:cs="宋体"/>
                <w:color w:val="000000"/>
                <w:kern w:val="0"/>
                <w:szCs w:val="21"/>
              </w:rPr>
              <w:br w:type="textWrapping"/>
            </w:r>
            <w:r>
              <w:rPr>
                <w:rFonts w:hint="eastAsia" w:ascii="宋体" w:hAnsi="宋体" w:cs="宋体"/>
                <w:color w:val="000000"/>
                <w:kern w:val="0"/>
                <w:szCs w:val="21"/>
              </w:rPr>
              <w:t>三级</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2337" w:type="dxa"/>
            <w:shd w:val="clear" w:color="auto" w:fill="auto"/>
            <w:vAlign w:val="center"/>
          </w:tcPr>
          <w:p>
            <w:pPr>
              <w:rPr>
                <w:rFonts w:ascii="等线" w:hAnsi="宋体" w:eastAsia="等线" w:cs="宋体"/>
                <w:color w:val="000000"/>
                <w:sz w:val="22"/>
                <w:szCs w:val="22"/>
              </w:rPr>
            </w:pPr>
            <w:r>
              <w:rPr>
                <w:rFonts w:hint="eastAsia" w:ascii="等线" w:eastAsia="等线"/>
                <w:color w:val="000000"/>
                <w:sz w:val="22"/>
                <w:szCs w:val="22"/>
              </w:rPr>
              <w:t>工程设计资质等级</w:t>
            </w:r>
          </w:p>
        </w:tc>
        <w:tc>
          <w:tcPr>
            <w:tcW w:w="1368" w:type="dxa"/>
            <w:shd w:val="clear" w:color="auto" w:fill="auto"/>
            <w:vAlign w:val="center"/>
          </w:tcPr>
          <w:p>
            <w:pPr>
              <w:rPr>
                <w:rFonts w:ascii="等线" w:hAnsi="宋体" w:eastAsia="等线" w:cs="宋体"/>
                <w:color w:val="000000"/>
                <w:sz w:val="22"/>
                <w:szCs w:val="22"/>
              </w:rPr>
            </w:pPr>
            <w:r>
              <w:rPr>
                <w:rFonts w:hint="eastAsia" w:ascii="等线" w:eastAsia="等线"/>
                <w:color w:val="000000"/>
                <w:sz w:val="22"/>
                <w:szCs w:val="22"/>
              </w:rPr>
              <w:t>GCSJZZDJ</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013002</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建筑工程项目的设计单位设计资质等级，填报中文描述。包括：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甲级</w:t>
            </w:r>
            <w:r>
              <w:rPr>
                <w:rFonts w:hint="eastAsia" w:ascii="宋体" w:hAnsi="宋体" w:cs="宋体"/>
                <w:color w:val="000000"/>
                <w:kern w:val="0"/>
                <w:szCs w:val="21"/>
              </w:rPr>
              <w:br w:type="textWrapping"/>
            </w:r>
            <w:r>
              <w:rPr>
                <w:rFonts w:hint="eastAsia" w:ascii="宋体" w:hAnsi="宋体" w:cs="宋体"/>
                <w:color w:val="000000"/>
                <w:kern w:val="0"/>
                <w:szCs w:val="21"/>
              </w:rPr>
              <w:t>乙级</w:t>
            </w:r>
            <w:r>
              <w:rPr>
                <w:rFonts w:hint="eastAsia" w:ascii="宋体" w:hAnsi="宋体" w:cs="宋体"/>
                <w:color w:val="000000"/>
                <w:kern w:val="0"/>
                <w:szCs w:val="21"/>
              </w:rPr>
              <w:br w:type="textWrapping"/>
            </w:r>
            <w:r>
              <w:rPr>
                <w:rFonts w:hint="eastAsia" w:ascii="宋体" w:hAnsi="宋体" w:cs="宋体"/>
                <w:color w:val="000000"/>
                <w:kern w:val="0"/>
                <w:szCs w:val="21"/>
              </w:rPr>
              <w:t>丙级</w:t>
            </w:r>
            <w:r>
              <w:rPr>
                <w:rFonts w:hint="eastAsia" w:ascii="宋体" w:hAnsi="宋体" w:cs="宋体"/>
                <w:color w:val="000000"/>
                <w:kern w:val="0"/>
                <w:szCs w:val="21"/>
              </w:rPr>
              <w:br w:type="textWrapping"/>
            </w:r>
            <w:r>
              <w:rPr>
                <w:rFonts w:hint="eastAsia" w:ascii="宋体" w:hAnsi="宋体" w:cs="宋体"/>
                <w:color w:val="000000"/>
                <w:kern w:val="0"/>
                <w:szCs w:val="21"/>
              </w:rPr>
              <w:t>丁级</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工程建造开始日期</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GCJZKSRQ</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建筑工程项目的建造的开始日期。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工程建造结束日期</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GCJZJSRQ</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建筑工程项目的建造的结束日期。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工程质量检查通过日期</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GCZLJCTGRQ</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建筑工程项目的质量检查的通过日期。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竣工验收合格日期</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JGYSHGRQ</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建筑工程项目的竣工验收合格通过日期。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免赔期</w:t>
            </w:r>
          </w:p>
        </w:tc>
        <w:tc>
          <w:tcPr>
            <w:tcW w:w="13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MPQ</w:t>
            </w:r>
          </w:p>
        </w:tc>
        <w:tc>
          <w:tcPr>
            <w:tcW w:w="7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001005</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5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保单约定的免赔期，竣工后多长时间（天）开始承担保险责任。</w:t>
            </w:r>
          </w:p>
        </w:tc>
      </w:tr>
    </w:tbl>
    <w:p>
      <w:pPr>
        <w:pStyle w:val="44"/>
        <w:spacing w:line="560" w:lineRule="exact"/>
        <w:rPr>
          <w:rFonts w:ascii="Calibri" w:hAnsi="Calibri"/>
          <w:szCs w:val="22"/>
        </w:rPr>
      </w:pPr>
    </w:p>
    <w:p>
      <w:pPr>
        <w:pStyle w:val="6"/>
        <w:numPr>
          <w:ilvl w:val="0"/>
          <w:numId w:val="4"/>
        </w:numPr>
        <w:ind w:firstLine="600"/>
      </w:pPr>
      <w:r>
        <w:rPr>
          <w:rFonts w:hint="eastAsia"/>
        </w:rPr>
        <w:t>首台（套）重大技术装备责任险申报信息表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9"/>
        <w:gridCol w:w="1259"/>
        <w:gridCol w:w="816"/>
        <w:gridCol w:w="797"/>
        <w:gridCol w:w="645"/>
        <w:gridCol w:w="2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7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25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175"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STTZDJSZBZRXSBXXB</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首台（套）重大技术装备责任险申报信息表</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1413</w:t>
            </w:r>
          </w:p>
        </w:tc>
        <w:tc>
          <w:tcPr>
            <w:tcW w:w="4175"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本表报送首台（套）重大技术装备责任险申报机构信息。若数据涉敏或涉密，无需报送。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7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25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9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4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73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申报机构名称</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SBJGMC</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装备申报机构的名称。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申报机构地址所在省</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SBJGDZSZS</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申报机构地址所在省，默认值000000，对应《业务代码表》中的“县及县以上行政区划”，填报中文描述。例如：北京市、天津市、河北省等。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申报机构地址</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SBJGDZ</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申报机构地址，包含省市区县及街道名称和门牌号码。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申报装备序号</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SBZBXH</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申报装备的序号。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申报类型</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SBLX</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019005</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申报装备的申报类型，填报中文描述。包括：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国内首台（套）</w:t>
            </w:r>
            <w:r>
              <w:rPr>
                <w:rFonts w:hint="eastAsia" w:ascii="宋体" w:hAnsi="宋体" w:cs="宋体"/>
                <w:color w:val="000000"/>
                <w:kern w:val="0"/>
                <w:szCs w:val="21"/>
              </w:rPr>
              <w:br w:type="textWrapping"/>
            </w:r>
            <w:r>
              <w:rPr>
                <w:rFonts w:hint="eastAsia" w:ascii="宋体" w:hAnsi="宋体" w:cs="宋体"/>
                <w:color w:val="000000"/>
                <w:kern w:val="0"/>
                <w:szCs w:val="21"/>
              </w:rPr>
              <w:t>省内首台（套）</w:t>
            </w:r>
            <w:r>
              <w:rPr>
                <w:rFonts w:hint="eastAsia" w:ascii="宋体" w:hAnsi="宋体" w:cs="宋体"/>
                <w:color w:val="000000"/>
                <w:kern w:val="0"/>
                <w:szCs w:val="21"/>
              </w:rPr>
              <w:br w:type="textWrapping"/>
            </w:r>
            <w:r>
              <w:rPr>
                <w:rFonts w:hint="eastAsia" w:ascii="宋体" w:hAnsi="宋体" w:cs="宋体"/>
                <w:color w:val="000000"/>
                <w:kern w:val="0"/>
                <w:szCs w:val="21"/>
              </w:rPr>
              <w:t>关键部件</w:t>
            </w:r>
            <w:r>
              <w:rPr>
                <w:rFonts w:hint="eastAsia" w:ascii="宋体" w:hAnsi="宋体" w:cs="宋体"/>
                <w:color w:val="000000"/>
                <w:kern w:val="0"/>
                <w:szCs w:val="21"/>
              </w:rPr>
              <w:br w:type="textWrapping"/>
            </w:r>
            <w:r>
              <w:rPr>
                <w:rFonts w:hint="eastAsia" w:ascii="宋体" w:hAnsi="宋体" w:cs="宋体"/>
                <w:color w:val="000000"/>
                <w:kern w:val="0"/>
                <w:szCs w:val="21"/>
              </w:rPr>
              <w:t>基础件产品</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申报产品名称</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SBCPMC</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申报装备的产品名称。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申报产品型号</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SBCPXH</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申报装备的产品型号。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申报产品规格</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SBCPGG</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申报装备的产品规格。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申报产品单价</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SBCPDJ</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申报装备的产品的单价。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申报产品数量</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SBCPSL</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申报装备的数量。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首次应用日期</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SCYYRQ</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申报装备的首次应用日期。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研制单位名称</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YZDWMC</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申报装备的研制单位名称。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使用单位名称</w:t>
            </w:r>
          </w:p>
        </w:tc>
        <w:tc>
          <w:tcPr>
            <w:tcW w:w="12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SYDWMC</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3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申报装备的使用单位名称。</w:t>
            </w:r>
          </w:p>
        </w:tc>
      </w:tr>
    </w:tbl>
    <w:p>
      <w:pPr>
        <w:pStyle w:val="44"/>
        <w:spacing w:line="560" w:lineRule="exact"/>
        <w:rPr>
          <w:rFonts w:ascii="Calibri" w:hAnsi="Calibri"/>
          <w:szCs w:val="22"/>
        </w:rPr>
      </w:pPr>
    </w:p>
    <w:p>
      <w:pPr>
        <w:pStyle w:val="6"/>
        <w:numPr>
          <w:ilvl w:val="0"/>
          <w:numId w:val="4"/>
        </w:numPr>
        <w:ind w:firstLine="600"/>
      </w:pPr>
      <w:r>
        <w:rPr>
          <w:rFonts w:hint="eastAsia"/>
        </w:rPr>
        <w:t>安全生产责任险企业保单扩展信息表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0"/>
        <w:gridCol w:w="1291"/>
        <w:gridCol w:w="807"/>
        <w:gridCol w:w="660"/>
        <w:gridCol w:w="660"/>
        <w:gridCol w:w="2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20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2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0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131"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AQSCZRXQYBDKZXXB</w:t>
            </w:r>
          </w:p>
        </w:tc>
        <w:tc>
          <w:tcPr>
            <w:tcW w:w="12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安全生产责任险企业保单扩展信息表</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1414</w:t>
            </w:r>
          </w:p>
        </w:tc>
        <w:tc>
          <w:tcPr>
            <w:tcW w:w="4131"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本表报送安全生产责任险企业信息。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20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2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0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6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6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1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2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2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2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2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2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2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2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2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2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2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企业名称</w:t>
            </w:r>
          </w:p>
        </w:tc>
        <w:tc>
          <w:tcPr>
            <w:tcW w:w="12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QYMC</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企业的注册名称。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企业地址所在省</w:t>
            </w:r>
          </w:p>
        </w:tc>
        <w:tc>
          <w:tcPr>
            <w:tcW w:w="12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QYDZSZS</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2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企业地址</w:t>
            </w:r>
          </w:p>
        </w:tc>
        <w:tc>
          <w:tcPr>
            <w:tcW w:w="12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QYDZ</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2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雇员总人数</w:t>
            </w:r>
          </w:p>
        </w:tc>
        <w:tc>
          <w:tcPr>
            <w:tcW w:w="12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GYZRS</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企业的雇员总人数。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2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参加工伤保险标志</w:t>
            </w:r>
          </w:p>
        </w:tc>
        <w:tc>
          <w:tcPr>
            <w:tcW w:w="12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CJGSBXBZ</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企业是否按照《工伤保险条例》参加工伤保险。填报中文描述：是，否。</w:t>
            </w:r>
          </w:p>
        </w:tc>
      </w:tr>
    </w:tbl>
    <w:p>
      <w:pPr>
        <w:pStyle w:val="44"/>
        <w:spacing w:line="560" w:lineRule="exact"/>
        <w:rPr>
          <w:rFonts w:ascii="Calibri" w:hAnsi="Calibri"/>
          <w:szCs w:val="22"/>
        </w:rPr>
      </w:pPr>
    </w:p>
    <w:p>
      <w:pPr>
        <w:pStyle w:val="6"/>
        <w:numPr>
          <w:ilvl w:val="0"/>
          <w:numId w:val="4"/>
        </w:numPr>
        <w:ind w:firstLine="600"/>
      </w:pPr>
      <w:r>
        <w:rPr>
          <w:rFonts w:hint="eastAsia"/>
        </w:rPr>
        <w:t>补充工伤责任险企业保单扩展信息表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3"/>
        <w:gridCol w:w="1293"/>
        <w:gridCol w:w="808"/>
        <w:gridCol w:w="660"/>
        <w:gridCol w:w="660"/>
        <w:gridCol w:w="2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9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29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135"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BCGSZRXQYBDKZXXB</w:t>
            </w:r>
          </w:p>
        </w:tc>
        <w:tc>
          <w:tcPr>
            <w:tcW w:w="12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补充工伤责任险企业保单扩展信息表</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1415</w:t>
            </w:r>
          </w:p>
        </w:tc>
        <w:tc>
          <w:tcPr>
            <w:tcW w:w="4135"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本表报送补充工伤责任险企业信息。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9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29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6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6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1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2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2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2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2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2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2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企业名称</w:t>
            </w:r>
          </w:p>
        </w:tc>
        <w:tc>
          <w:tcPr>
            <w:tcW w:w="12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QYMC</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企业地址所在省</w:t>
            </w:r>
          </w:p>
        </w:tc>
        <w:tc>
          <w:tcPr>
            <w:tcW w:w="12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QYDZSZS</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企业地址</w:t>
            </w:r>
          </w:p>
        </w:tc>
        <w:tc>
          <w:tcPr>
            <w:tcW w:w="12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QYDZ</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企业地址中除省、市、区县以外的详细地址信息，注明街道名称和门牌号码。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企业职工人数</w:t>
            </w:r>
          </w:p>
        </w:tc>
        <w:tc>
          <w:tcPr>
            <w:tcW w:w="12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QYZGRS</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企业的职工人数。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上年度职工工资总额</w:t>
            </w:r>
          </w:p>
        </w:tc>
        <w:tc>
          <w:tcPr>
            <w:tcW w:w="129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SNDZGGZZE</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企业的上年度职工工资总额。</w:t>
            </w:r>
          </w:p>
        </w:tc>
      </w:tr>
    </w:tbl>
    <w:p>
      <w:pPr>
        <w:pStyle w:val="44"/>
        <w:spacing w:line="560" w:lineRule="exact"/>
        <w:rPr>
          <w:rFonts w:ascii="Calibri" w:hAnsi="Calibri"/>
          <w:szCs w:val="22"/>
        </w:rPr>
      </w:pPr>
    </w:p>
    <w:p>
      <w:pPr>
        <w:pStyle w:val="6"/>
        <w:numPr>
          <w:ilvl w:val="0"/>
          <w:numId w:val="4"/>
        </w:numPr>
        <w:ind w:firstLine="600"/>
      </w:pPr>
      <w:r>
        <w:rPr>
          <w:rFonts w:hint="eastAsia"/>
        </w:rPr>
        <w:t>雇主责任险企业保单扩展信息表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7"/>
        <w:gridCol w:w="1343"/>
        <w:gridCol w:w="812"/>
        <w:gridCol w:w="681"/>
        <w:gridCol w:w="681"/>
        <w:gridCol w:w="2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97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297"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GZZRXQYBDKZXXB</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雇主责任险企业保单扩展信息表</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1416</w:t>
            </w:r>
          </w:p>
        </w:tc>
        <w:tc>
          <w:tcPr>
            <w:tcW w:w="4297"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本表报送雇主责任险的企业信息，如企业地址、所在行业、是否高风险人员等。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97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8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8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93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企业地址所在省</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QYDZSZS</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企业地址</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QYDZ</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企业地址中除省、市、区县以外的详细地址信息，注明街道名称和门牌号码。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行业</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HY</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013003</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按企业、事业单位、机关团体和个体从业人员所从事的生产经营活动或其他社会经济活动的性质进行行业分类，对应《业务代码表》中的“国民经济行业分类”，填报中文描述。例如：农业、林业等。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高风险人员标志</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GFXRYBZ</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企业是否包含高风险人员标志。填报中文描述：是，否。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记名投保标志</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JMTBBZ</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企业是否记名投保。填报中文描述：是，否。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投保员工人数</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TBYGRS</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企业投保的员工人数。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工程造价</w:t>
            </w:r>
          </w:p>
        </w:tc>
        <w:tc>
          <w:tcPr>
            <w:tcW w:w="13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GCZJ</w:t>
            </w:r>
          </w:p>
        </w:tc>
        <w:tc>
          <w:tcPr>
            <w:tcW w:w="8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3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对于工程类的雇主责任险，如果以工程造价为计费基础，则应记录其对应的工程造价。</w:t>
            </w:r>
          </w:p>
        </w:tc>
      </w:tr>
    </w:tbl>
    <w:p>
      <w:pPr>
        <w:pStyle w:val="44"/>
        <w:spacing w:line="560" w:lineRule="exact"/>
        <w:rPr>
          <w:rFonts w:ascii="Calibri" w:hAnsi="Calibri"/>
          <w:szCs w:val="22"/>
        </w:rPr>
      </w:pPr>
    </w:p>
    <w:p>
      <w:pPr>
        <w:pStyle w:val="6"/>
        <w:numPr>
          <w:ilvl w:val="0"/>
          <w:numId w:val="4"/>
        </w:numPr>
        <w:ind w:firstLine="600"/>
      </w:pPr>
      <w:r>
        <w:rPr>
          <w:rFonts w:hint="eastAsia"/>
        </w:rPr>
        <w:t>医疗责任险医疗机构保单扩展信息表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7"/>
        <w:gridCol w:w="1314"/>
        <w:gridCol w:w="810"/>
        <w:gridCol w:w="662"/>
        <w:gridCol w:w="662"/>
        <w:gridCol w:w="2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5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1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14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YLZRXYLJGBDKZXXB</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医疗责任险医疗机构保单扩展信息表</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1417</w:t>
            </w:r>
          </w:p>
        </w:tc>
        <w:tc>
          <w:tcPr>
            <w:tcW w:w="414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本表报送医疗责任险医疗机构的相关信息，如医疗机构的地址、等级、性质、类别、人数等。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5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1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6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6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2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医疗机构地址所在省</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YLJGDZSZS1</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医疗机构地址</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YLJGDZ</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医疗机构等级</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YLJGDJ</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014002</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医疗机构的等级记。医院等级划分标准，是我国依据医院功能、设施、技术力量等对医院资质评定指标，对应《业务代码表》中的“医疗机构等级”，填报中文描述。例如：卫生院、一甲、二甲等。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医疗机构种类</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YLJGZL</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014004</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医疗机构的种类，填报中文描述。包括：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综合性</w:t>
            </w:r>
            <w:r>
              <w:rPr>
                <w:rFonts w:hint="eastAsia" w:ascii="宋体" w:hAnsi="宋体" w:cs="宋体"/>
                <w:color w:val="000000"/>
                <w:kern w:val="0"/>
                <w:szCs w:val="21"/>
              </w:rPr>
              <w:br w:type="textWrapping"/>
            </w:r>
            <w:r>
              <w:rPr>
                <w:rFonts w:hint="eastAsia" w:ascii="宋体" w:hAnsi="宋体" w:cs="宋体"/>
                <w:color w:val="000000"/>
                <w:kern w:val="0"/>
                <w:szCs w:val="21"/>
              </w:rPr>
              <w:t>专科</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医疗机构性质</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YLJGXZ</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014003</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医疗机构的性质，填报中文描述。包括：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盈利性</w:t>
            </w:r>
            <w:r>
              <w:rPr>
                <w:rFonts w:hint="eastAsia" w:ascii="宋体" w:hAnsi="宋体" w:cs="宋体"/>
                <w:color w:val="000000"/>
                <w:kern w:val="0"/>
                <w:szCs w:val="21"/>
              </w:rPr>
              <w:br w:type="textWrapping"/>
            </w:r>
            <w:r>
              <w:rPr>
                <w:rFonts w:hint="eastAsia" w:ascii="宋体" w:hAnsi="宋体" w:cs="宋体"/>
                <w:color w:val="000000"/>
                <w:kern w:val="0"/>
                <w:szCs w:val="21"/>
              </w:rPr>
              <w:t>非盈利性。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医疗机构类别</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YLJGLB</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014001</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医疗机构的类别，对应《业务代码表》中的“医疗机构类别”，填报中文描述。例如：中医医院、中西医结合医院等。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上年度营业收入</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SNDYYSR</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医疗机构的上年度营业收入。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医生人数</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YSRS</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医疗机构中具有医师资格证的医师的总人数。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护士人数</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HSRS</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医疗机构中持有护士执业许可证的护士总人数。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医院总人数</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YYZRS</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医疗机构的医务人员人数，包括合同工、临时工。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医技人数</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YJRS</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医疗机构的医技人数，包括医疗人员和医学技术人员。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年手术人次</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NSSRC</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医疗机构投保的每年手术人次。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年诊疗人次</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NZLRC</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医疗机构投保的年诊疗总人数，包括门诊、住院诊疗人次总和。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床位数</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CWS</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医疗机构投保的床位数。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年住院人次</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NZYRC</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医疗机构投保的年住院人数。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5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教学医院标志</w:t>
            </w:r>
          </w:p>
        </w:tc>
        <w:tc>
          <w:tcPr>
            <w:tcW w:w="13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JXYYBZ</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医疗机构是否是教学医院。填报中文描述：是，否。</w:t>
            </w:r>
          </w:p>
        </w:tc>
      </w:tr>
    </w:tbl>
    <w:p>
      <w:pPr>
        <w:pStyle w:val="44"/>
        <w:spacing w:line="560" w:lineRule="exact"/>
        <w:rPr>
          <w:rFonts w:ascii="Calibri" w:hAnsi="Calibri"/>
          <w:szCs w:val="22"/>
        </w:rPr>
      </w:pPr>
    </w:p>
    <w:p>
      <w:pPr>
        <w:pStyle w:val="6"/>
        <w:numPr>
          <w:ilvl w:val="0"/>
          <w:numId w:val="4"/>
        </w:numPr>
        <w:ind w:firstLine="600"/>
      </w:pPr>
      <w:r>
        <w:rPr>
          <w:rFonts w:hint="eastAsia"/>
        </w:rPr>
        <w:t>会计师事务所职业责任险会计师事务所保单扩展信息表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74"/>
        <w:gridCol w:w="1114"/>
        <w:gridCol w:w="790"/>
        <w:gridCol w:w="585"/>
        <w:gridCol w:w="585"/>
        <w:gridCol w:w="2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97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11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7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3551"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9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KJSSWSZYZRXKJSSWSBDKZXXB</w:t>
            </w:r>
          </w:p>
        </w:tc>
        <w:tc>
          <w:tcPr>
            <w:tcW w:w="11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会计师事务所职业责任险会计师事务所保单扩展信息表</w:t>
            </w:r>
          </w:p>
        </w:tc>
        <w:tc>
          <w:tcPr>
            <w:tcW w:w="7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1418</w:t>
            </w:r>
          </w:p>
        </w:tc>
        <w:tc>
          <w:tcPr>
            <w:tcW w:w="3551"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本表报送会计师事务所职业责任险会计师事务所的相关信息，如会计师事务所的地址、人数、成立日期等。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97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11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7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58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58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38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9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1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7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8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9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1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7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8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9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1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7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8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9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1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7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8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9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1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7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8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9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1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7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8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9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事务所地址所在省</w:t>
            </w:r>
          </w:p>
        </w:tc>
        <w:tc>
          <w:tcPr>
            <w:tcW w:w="11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SWSDZSZS</w:t>
            </w:r>
          </w:p>
        </w:tc>
        <w:tc>
          <w:tcPr>
            <w:tcW w:w="7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8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事务所地址所在省，默认值000000，对应《业务代码表》中的“县及县以上行政区划”，填报中文描述。例如：北京市、天津市、河北省等。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9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事务所地址</w:t>
            </w:r>
          </w:p>
        </w:tc>
        <w:tc>
          <w:tcPr>
            <w:tcW w:w="11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SWSDZ</w:t>
            </w:r>
          </w:p>
        </w:tc>
        <w:tc>
          <w:tcPr>
            <w:tcW w:w="7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8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事务所地址，包含省市区县及街道名称和门牌号码。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9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会计师人数</w:t>
            </w:r>
          </w:p>
        </w:tc>
        <w:tc>
          <w:tcPr>
            <w:tcW w:w="11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KJSRS</w:t>
            </w:r>
          </w:p>
        </w:tc>
        <w:tc>
          <w:tcPr>
            <w:tcW w:w="7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8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会计师事务所的会计师人数。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9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成立日期</w:t>
            </w:r>
          </w:p>
        </w:tc>
        <w:tc>
          <w:tcPr>
            <w:tcW w:w="11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CLRQ</w:t>
            </w:r>
          </w:p>
        </w:tc>
        <w:tc>
          <w:tcPr>
            <w:tcW w:w="7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8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会计师事务所的成立日期。应与营业执照上的成立日期保持一致。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9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上年业务收入</w:t>
            </w:r>
          </w:p>
        </w:tc>
        <w:tc>
          <w:tcPr>
            <w:tcW w:w="11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SNYWSR</w:t>
            </w:r>
          </w:p>
        </w:tc>
        <w:tc>
          <w:tcPr>
            <w:tcW w:w="7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8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会计师事务所的上年业务收入。</w:t>
            </w:r>
          </w:p>
        </w:tc>
      </w:tr>
    </w:tbl>
    <w:p>
      <w:pPr>
        <w:pStyle w:val="44"/>
        <w:spacing w:line="560" w:lineRule="exact"/>
        <w:rPr>
          <w:rFonts w:ascii="Calibri" w:hAnsi="Calibri"/>
          <w:szCs w:val="22"/>
        </w:rPr>
      </w:pPr>
    </w:p>
    <w:p>
      <w:pPr>
        <w:pStyle w:val="6"/>
        <w:numPr>
          <w:ilvl w:val="0"/>
          <w:numId w:val="4"/>
        </w:numPr>
        <w:ind w:firstLine="600"/>
      </w:pPr>
      <w:r>
        <w:rPr>
          <w:rFonts w:hint="eastAsia"/>
        </w:rPr>
        <w:t>董监事高管责任险保单扩展信息表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9"/>
        <w:gridCol w:w="1326"/>
        <w:gridCol w:w="814"/>
        <w:gridCol w:w="674"/>
        <w:gridCol w:w="674"/>
        <w:gridCol w:w="28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04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2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240"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DJSGGZRXBDKZXXB</w:t>
            </w:r>
          </w:p>
        </w:tc>
        <w:tc>
          <w:tcPr>
            <w:tcW w:w="13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董监事高管责任险保单扩展信息表</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1419</w:t>
            </w:r>
          </w:p>
        </w:tc>
        <w:tc>
          <w:tcPr>
            <w:tcW w:w="4240"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本表报送董监高管责任险董监高管的相关信息，如董监高管的姓名、性别、年龄、职务等。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04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2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7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7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9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9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9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9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9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9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9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董事监事及高管姓名</w:t>
            </w:r>
          </w:p>
        </w:tc>
        <w:tc>
          <w:tcPr>
            <w:tcW w:w="13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DSJSJGGXM</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9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董事、监事及高管的姓名。隐私，财产保险公司变形。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证件类型</w:t>
            </w:r>
          </w:p>
        </w:tc>
        <w:tc>
          <w:tcPr>
            <w:tcW w:w="13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ZJLX</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9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董事、监事及高管的证件类型，对应《业务代码表》中的“个人身份证件类型”，填报中文描述。例如：居民身份证、户口薄等。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证件号码</w:t>
            </w:r>
          </w:p>
        </w:tc>
        <w:tc>
          <w:tcPr>
            <w:tcW w:w="13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ZJHM</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9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董事、监事及高管的证件号码。隐私，财产保险公司变形。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20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性别</w:t>
            </w:r>
          </w:p>
        </w:tc>
        <w:tc>
          <w:tcPr>
            <w:tcW w:w="13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XB</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003002</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9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董事、监事及高管的性别代码，填报中文描述。包括：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未知的性别</w:t>
            </w:r>
            <w:r>
              <w:rPr>
                <w:rFonts w:hint="eastAsia" w:ascii="宋体" w:hAnsi="宋体" w:cs="宋体"/>
                <w:color w:val="000000"/>
                <w:kern w:val="0"/>
                <w:szCs w:val="21"/>
              </w:rPr>
              <w:br w:type="textWrapping"/>
            </w:r>
            <w:r>
              <w:rPr>
                <w:rFonts w:hint="eastAsia" w:ascii="宋体" w:hAnsi="宋体" w:cs="宋体"/>
                <w:color w:val="000000"/>
                <w:kern w:val="0"/>
                <w:szCs w:val="21"/>
              </w:rPr>
              <w:t>男性</w:t>
            </w:r>
            <w:r>
              <w:rPr>
                <w:rFonts w:hint="eastAsia" w:ascii="宋体" w:hAnsi="宋体" w:cs="宋体"/>
                <w:color w:val="000000"/>
                <w:kern w:val="0"/>
                <w:szCs w:val="21"/>
              </w:rPr>
              <w:br w:type="textWrapping"/>
            </w:r>
            <w:r>
              <w:rPr>
                <w:rFonts w:hint="eastAsia" w:ascii="宋体" w:hAnsi="宋体" w:cs="宋体"/>
                <w:color w:val="000000"/>
                <w:kern w:val="0"/>
                <w:szCs w:val="21"/>
              </w:rPr>
              <w:t>女性</w:t>
            </w:r>
            <w:r>
              <w:rPr>
                <w:rFonts w:hint="eastAsia" w:ascii="宋体" w:hAnsi="宋体" w:cs="宋体"/>
                <w:color w:val="000000"/>
                <w:kern w:val="0"/>
                <w:szCs w:val="21"/>
              </w:rPr>
              <w:br w:type="textWrapping"/>
            </w:r>
            <w:r>
              <w:rPr>
                <w:rFonts w:hint="eastAsia" w:ascii="宋体" w:hAnsi="宋体" w:cs="宋体"/>
                <w:color w:val="000000"/>
                <w:kern w:val="0"/>
                <w:szCs w:val="21"/>
              </w:rPr>
              <w:t>未说明的性别。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年龄</w:t>
            </w:r>
          </w:p>
        </w:tc>
        <w:tc>
          <w:tcPr>
            <w:tcW w:w="13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NL</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003003</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9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董事、监事及高管的年龄。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职务</w:t>
            </w:r>
          </w:p>
        </w:tc>
        <w:tc>
          <w:tcPr>
            <w:tcW w:w="13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ZW</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9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董事、监事及高管的职务描述。</w:t>
            </w:r>
          </w:p>
        </w:tc>
      </w:tr>
    </w:tbl>
    <w:p>
      <w:pPr>
        <w:pStyle w:val="44"/>
        <w:spacing w:line="560" w:lineRule="exact"/>
        <w:rPr>
          <w:rFonts w:ascii="Calibri" w:hAnsi="Calibri"/>
          <w:szCs w:val="22"/>
        </w:rPr>
      </w:pPr>
    </w:p>
    <w:p>
      <w:pPr>
        <w:pStyle w:val="6"/>
        <w:numPr>
          <w:ilvl w:val="0"/>
          <w:numId w:val="4"/>
        </w:numPr>
        <w:ind w:firstLine="600"/>
      </w:pPr>
      <w:r>
        <w:rPr>
          <w:rFonts w:hint="eastAsia"/>
        </w:rPr>
        <w:t>诉讼财产保全责任险保单扩展信息表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1"/>
        <w:gridCol w:w="1300"/>
        <w:gridCol w:w="811"/>
        <w:gridCol w:w="663"/>
        <w:gridCol w:w="663"/>
        <w:gridCol w:w="2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6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0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157"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SSCCBQZRXBDKZXXB</w:t>
            </w:r>
          </w:p>
        </w:tc>
        <w:tc>
          <w:tcPr>
            <w:tcW w:w="13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诉讼财产保全责任险保单扩展信息表</w:t>
            </w:r>
          </w:p>
        </w:tc>
        <w:tc>
          <w:tcPr>
            <w:tcW w:w="8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1420</w:t>
            </w:r>
          </w:p>
        </w:tc>
        <w:tc>
          <w:tcPr>
            <w:tcW w:w="4157"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本表报送诉讼财产保全责任险保全财产的相关信息，如保全方式、标的描述、标的类型、申请保全金额等。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6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0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6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6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案件编号</w:t>
            </w:r>
          </w:p>
        </w:tc>
        <w:tc>
          <w:tcPr>
            <w:tcW w:w="13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AJBH</w:t>
            </w:r>
          </w:p>
        </w:tc>
        <w:tc>
          <w:tcPr>
            <w:tcW w:w="8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诉讼案件的案件编号。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21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财产保全方式</w:t>
            </w:r>
          </w:p>
        </w:tc>
        <w:tc>
          <w:tcPr>
            <w:tcW w:w="13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CCBQFS</w:t>
            </w:r>
          </w:p>
        </w:tc>
        <w:tc>
          <w:tcPr>
            <w:tcW w:w="8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016001</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诉讼财产的财产保全方式分类，填报中文描述。包括：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查封</w:t>
            </w:r>
            <w:r>
              <w:rPr>
                <w:rFonts w:hint="eastAsia" w:ascii="宋体" w:hAnsi="宋体" w:cs="宋体"/>
                <w:color w:val="000000"/>
                <w:kern w:val="0"/>
                <w:szCs w:val="21"/>
              </w:rPr>
              <w:br w:type="textWrapping"/>
            </w:r>
            <w:r>
              <w:rPr>
                <w:rFonts w:hint="eastAsia" w:ascii="宋体" w:hAnsi="宋体" w:cs="宋体"/>
                <w:color w:val="000000"/>
                <w:kern w:val="0"/>
                <w:szCs w:val="21"/>
              </w:rPr>
              <w:t>扣押</w:t>
            </w:r>
            <w:r>
              <w:rPr>
                <w:rFonts w:hint="eastAsia" w:ascii="宋体" w:hAnsi="宋体" w:cs="宋体"/>
                <w:color w:val="000000"/>
                <w:kern w:val="0"/>
                <w:szCs w:val="21"/>
              </w:rPr>
              <w:br w:type="textWrapping"/>
            </w:r>
            <w:r>
              <w:rPr>
                <w:rFonts w:hint="eastAsia" w:ascii="宋体" w:hAnsi="宋体" w:cs="宋体"/>
                <w:color w:val="000000"/>
                <w:kern w:val="0"/>
                <w:szCs w:val="21"/>
              </w:rPr>
              <w:t>冻结</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保全标的描述</w:t>
            </w:r>
          </w:p>
        </w:tc>
        <w:tc>
          <w:tcPr>
            <w:tcW w:w="13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BQBDMS</w:t>
            </w:r>
          </w:p>
        </w:tc>
        <w:tc>
          <w:tcPr>
            <w:tcW w:w="8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诉讼财产保全标的描述。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保全标的类型</w:t>
            </w:r>
          </w:p>
        </w:tc>
        <w:tc>
          <w:tcPr>
            <w:tcW w:w="13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BQBDLX</w:t>
            </w:r>
          </w:p>
        </w:tc>
        <w:tc>
          <w:tcPr>
            <w:tcW w:w="8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016002</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3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诉讼财产保全标的的类型，对应《业务代码表》中的“诉讼保全标的类型”，填报中文描述。例如：房产、现金等。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保全法院名称</w:t>
            </w:r>
          </w:p>
        </w:tc>
        <w:tc>
          <w:tcPr>
            <w:tcW w:w="13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BQFYMC</w:t>
            </w:r>
          </w:p>
        </w:tc>
        <w:tc>
          <w:tcPr>
            <w:tcW w:w="8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诉讼财产保全法院的名称。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申请保全金额</w:t>
            </w:r>
          </w:p>
        </w:tc>
        <w:tc>
          <w:tcPr>
            <w:tcW w:w="13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SQBQJE</w:t>
            </w:r>
          </w:p>
        </w:tc>
        <w:tc>
          <w:tcPr>
            <w:tcW w:w="8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3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诉讼财产申请保全的金额。</w:t>
            </w:r>
          </w:p>
        </w:tc>
      </w:tr>
    </w:tbl>
    <w:p>
      <w:pPr>
        <w:pStyle w:val="44"/>
        <w:spacing w:line="560" w:lineRule="exact"/>
        <w:rPr>
          <w:rFonts w:ascii="Calibri" w:hAnsi="Calibri"/>
          <w:szCs w:val="22"/>
        </w:rPr>
      </w:pPr>
    </w:p>
    <w:p>
      <w:pPr>
        <w:pStyle w:val="6"/>
        <w:numPr>
          <w:ilvl w:val="0"/>
          <w:numId w:val="4"/>
        </w:numPr>
        <w:ind w:firstLine="600"/>
      </w:pPr>
      <w:r>
        <w:rPr>
          <w:rFonts w:hint="eastAsia"/>
        </w:rPr>
        <w:t>水路客运承运人责任险保单扩展信息表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3"/>
        <w:gridCol w:w="1269"/>
        <w:gridCol w:w="805"/>
        <w:gridCol w:w="649"/>
        <w:gridCol w:w="649"/>
        <w:gridCol w:w="27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30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26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0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052"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3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SLKYCYRZRXBDKZXXB</w:t>
            </w:r>
          </w:p>
        </w:tc>
        <w:tc>
          <w:tcPr>
            <w:tcW w:w="126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水路客运承运人责任险保单扩展信息表</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1421</w:t>
            </w:r>
          </w:p>
        </w:tc>
        <w:tc>
          <w:tcPr>
            <w:tcW w:w="4052"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本表报送水路客运承运人责任险的承运人信息。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30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26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0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4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4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75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3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26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5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3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26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5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3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26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5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3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26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5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3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26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5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26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5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3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承运人地址所在省</w:t>
            </w:r>
          </w:p>
        </w:tc>
        <w:tc>
          <w:tcPr>
            <w:tcW w:w="126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CYRDZSZS</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5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承运人地址</w:t>
            </w:r>
          </w:p>
        </w:tc>
        <w:tc>
          <w:tcPr>
            <w:tcW w:w="126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CYRDZ</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5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客船数量</w:t>
            </w:r>
          </w:p>
        </w:tc>
        <w:tc>
          <w:tcPr>
            <w:tcW w:w="126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KCSL</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5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承运人客船的数量。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年旅客运输量</w:t>
            </w:r>
          </w:p>
        </w:tc>
        <w:tc>
          <w:tcPr>
            <w:tcW w:w="126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NLKYSL</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5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承运人上一年旅客运输量。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3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营业年限</w:t>
            </w:r>
          </w:p>
        </w:tc>
        <w:tc>
          <w:tcPr>
            <w:tcW w:w="126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YYNX</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5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承运人从开始营业到投保时的营业年限。单位为年，允许有小数。</w:t>
            </w:r>
          </w:p>
        </w:tc>
      </w:tr>
    </w:tbl>
    <w:p>
      <w:pPr>
        <w:pStyle w:val="44"/>
        <w:spacing w:line="560" w:lineRule="exact"/>
        <w:rPr>
          <w:rFonts w:ascii="Calibri" w:hAnsi="Calibri"/>
          <w:szCs w:val="22"/>
        </w:rPr>
      </w:pPr>
    </w:p>
    <w:p>
      <w:pPr>
        <w:pStyle w:val="6"/>
        <w:numPr>
          <w:ilvl w:val="0"/>
          <w:numId w:val="4"/>
        </w:numPr>
        <w:ind w:firstLine="600"/>
      </w:pPr>
      <w:r>
        <w:rPr>
          <w:rFonts w:hint="eastAsia"/>
        </w:rPr>
        <w:t>自然灾害公众责任险赔案扩展信息表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5"/>
        <w:gridCol w:w="1295"/>
        <w:gridCol w:w="809"/>
        <w:gridCol w:w="661"/>
        <w:gridCol w:w="661"/>
        <w:gridCol w:w="2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8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29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0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140"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ZRZHGZZRXPAKZXXB</w:t>
            </w:r>
          </w:p>
        </w:tc>
        <w:tc>
          <w:tcPr>
            <w:tcW w:w="12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自然灾害公众责任险赔案扩展信息表</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1422</w:t>
            </w:r>
          </w:p>
        </w:tc>
        <w:tc>
          <w:tcPr>
            <w:tcW w:w="4140"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本表报送自然灾害公众责任险的自然灾害信息。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8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29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0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6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6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1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2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2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2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2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2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2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出险原因</w:t>
            </w:r>
          </w:p>
        </w:tc>
        <w:tc>
          <w:tcPr>
            <w:tcW w:w="12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CXYY</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008002</w:t>
            </w:r>
          </w:p>
        </w:tc>
        <w:tc>
          <w:tcPr>
            <w:tcW w:w="6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1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财产险出险的原因，对应《业务代码表》中的“出险原因”，填报中文描述。例如：自然灾害-风灾、地质灾害-包装破裂、意外事故-车对车碰撞等。</w:t>
            </w:r>
          </w:p>
        </w:tc>
      </w:tr>
    </w:tbl>
    <w:p>
      <w:pPr>
        <w:pStyle w:val="44"/>
        <w:spacing w:line="560" w:lineRule="exact"/>
        <w:rPr>
          <w:rFonts w:ascii="Calibri" w:hAnsi="Calibri"/>
          <w:szCs w:val="22"/>
        </w:rPr>
      </w:pPr>
    </w:p>
    <w:p>
      <w:pPr>
        <w:pStyle w:val="6"/>
        <w:numPr>
          <w:ilvl w:val="0"/>
          <w:numId w:val="4"/>
        </w:numPr>
        <w:ind w:firstLine="600"/>
      </w:pPr>
      <w:r>
        <w:rPr>
          <w:rFonts w:hint="eastAsia"/>
        </w:rPr>
        <w:t>物流责任险保单扩展信息表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1389"/>
        <w:gridCol w:w="820"/>
        <w:gridCol w:w="699"/>
        <w:gridCol w:w="699"/>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7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8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43"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WLZRXBDKZXXB</w:t>
            </w:r>
          </w:p>
        </w:tc>
        <w:tc>
          <w:tcPr>
            <w:tcW w:w="13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物流责任险保单扩展信息表</w:t>
            </w:r>
          </w:p>
        </w:tc>
        <w:tc>
          <w:tcPr>
            <w:tcW w:w="8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1423</w:t>
            </w:r>
          </w:p>
        </w:tc>
        <w:tc>
          <w:tcPr>
            <w:tcW w:w="4443"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本表报送物流责任险的物流公司信息。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7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8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9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9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4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4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4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4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4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4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4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物流公司名称</w:t>
            </w:r>
          </w:p>
        </w:tc>
        <w:tc>
          <w:tcPr>
            <w:tcW w:w="13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WLGSMC</w:t>
            </w:r>
          </w:p>
        </w:tc>
        <w:tc>
          <w:tcPr>
            <w:tcW w:w="8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4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物流公司名称。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目的地</w:t>
            </w:r>
          </w:p>
        </w:tc>
        <w:tc>
          <w:tcPr>
            <w:tcW w:w="13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MDD</w:t>
            </w:r>
          </w:p>
        </w:tc>
        <w:tc>
          <w:tcPr>
            <w:tcW w:w="8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4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物流送达目的地。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起运日期</w:t>
            </w:r>
          </w:p>
        </w:tc>
        <w:tc>
          <w:tcPr>
            <w:tcW w:w="13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QYRQ</w:t>
            </w:r>
          </w:p>
        </w:tc>
        <w:tc>
          <w:tcPr>
            <w:tcW w:w="8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4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物流开始运输日期。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车辆号牌号码</w:t>
            </w:r>
          </w:p>
        </w:tc>
        <w:tc>
          <w:tcPr>
            <w:tcW w:w="13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CLHPHM</w:t>
            </w:r>
          </w:p>
        </w:tc>
        <w:tc>
          <w:tcPr>
            <w:tcW w:w="8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010005</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4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又称车牌号，指本保单标的车的车辆牌照号码。应与机动车行驶证上登记的号牌号码保持一致。隐私，财产保险公司变形。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订单号</w:t>
            </w:r>
          </w:p>
        </w:tc>
        <w:tc>
          <w:tcPr>
            <w:tcW w:w="13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DDH</w:t>
            </w:r>
          </w:p>
        </w:tc>
        <w:tc>
          <w:tcPr>
            <w:tcW w:w="8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4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物流订单号。</w:t>
            </w:r>
          </w:p>
        </w:tc>
      </w:tr>
    </w:tbl>
    <w:p>
      <w:pPr>
        <w:pStyle w:val="44"/>
        <w:spacing w:line="560" w:lineRule="exact"/>
        <w:rPr>
          <w:rFonts w:ascii="Calibri" w:hAnsi="Calibri"/>
          <w:szCs w:val="22"/>
        </w:rPr>
      </w:pPr>
    </w:p>
    <w:p>
      <w:pPr>
        <w:pStyle w:val="6"/>
        <w:numPr>
          <w:ilvl w:val="0"/>
          <w:numId w:val="4"/>
        </w:numPr>
        <w:ind w:firstLine="600"/>
      </w:pPr>
      <w:r>
        <w:rPr>
          <w:rFonts w:hint="eastAsia"/>
        </w:rPr>
        <w:t>食品安全责任险企业保单扩展信息表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9"/>
        <w:gridCol w:w="1460"/>
        <w:gridCol w:w="791"/>
        <w:gridCol w:w="648"/>
        <w:gridCol w:w="648"/>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3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6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7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039"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SPAQZRXQYBDKZXXB</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食品安全责任险企业保单扩展信息表</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1424</w:t>
            </w:r>
          </w:p>
        </w:tc>
        <w:tc>
          <w:tcPr>
            <w:tcW w:w="4039"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本表报送食品安全责任险保单的企业信息。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3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6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7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4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4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7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企业名称</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QYMC</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食品企业的名称。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食品企业类型</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SPQYLX</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014008</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食品企业的类型。填报中文描述。包括：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生产</w:t>
            </w:r>
            <w:r>
              <w:rPr>
                <w:rFonts w:hint="eastAsia" w:ascii="宋体" w:hAnsi="宋体" w:cs="宋体"/>
                <w:color w:val="000000"/>
                <w:kern w:val="0"/>
                <w:szCs w:val="21"/>
              </w:rPr>
              <w:br w:type="textWrapping"/>
            </w:r>
            <w:r>
              <w:rPr>
                <w:rFonts w:hint="eastAsia" w:ascii="宋体" w:hAnsi="宋体" w:cs="宋体"/>
                <w:color w:val="000000"/>
                <w:kern w:val="0"/>
                <w:szCs w:val="21"/>
              </w:rPr>
              <w:t>加工</w:t>
            </w:r>
            <w:r>
              <w:rPr>
                <w:rFonts w:hint="eastAsia" w:ascii="宋体" w:hAnsi="宋体" w:cs="宋体"/>
                <w:color w:val="000000"/>
                <w:kern w:val="0"/>
                <w:szCs w:val="21"/>
              </w:rPr>
              <w:br w:type="textWrapping"/>
            </w:r>
            <w:r>
              <w:rPr>
                <w:rFonts w:hint="eastAsia" w:ascii="宋体" w:hAnsi="宋体" w:cs="宋体"/>
                <w:color w:val="000000"/>
                <w:kern w:val="0"/>
                <w:szCs w:val="21"/>
              </w:rPr>
              <w:t>流通</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食品生产流通许可证号</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SPSCLTXKZH</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014009</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食品企业的食品生产许可证号/流通许可证号。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食品生产流通许可证起期</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SPSCLTXKZQQ</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食品企业的食品生产许可证号起期。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食品生产流通许可证止期</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SPSCLTXKZZQ</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食品企业的食品生产许可证号止期。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餐饮服务许可证</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CYFWXKZ</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014009</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餐饮服务许可证。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食品经营许可证</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SPJYXKZ</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014009</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食品经营许可证。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营业场所地址所在省</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YYCSDZSZS</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营业场所地址所在省，默认值000000，对应《业务代码表》中的“县及县以上行政区划”，填报中文描述。例如：北京市、天津市、河北省等。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3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营业场所地址</w:t>
            </w:r>
          </w:p>
        </w:tc>
        <w:tc>
          <w:tcPr>
            <w:tcW w:w="14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YYCSDZ</w:t>
            </w:r>
          </w:p>
        </w:tc>
        <w:tc>
          <w:tcPr>
            <w:tcW w:w="7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食品企业的营业场所，包含省市区县及街道名称和门牌号码。</w:t>
            </w:r>
          </w:p>
        </w:tc>
      </w:tr>
    </w:tbl>
    <w:p>
      <w:pPr>
        <w:pStyle w:val="44"/>
        <w:spacing w:line="560" w:lineRule="exact"/>
        <w:rPr>
          <w:rFonts w:ascii="Calibri" w:hAnsi="Calibri"/>
          <w:szCs w:val="22"/>
        </w:rPr>
      </w:pPr>
    </w:p>
    <w:p>
      <w:pPr>
        <w:pStyle w:val="6"/>
        <w:numPr>
          <w:ilvl w:val="0"/>
          <w:numId w:val="4"/>
        </w:numPr>
        <w:ind w:firstLine="600"/>
      </w:pPr>
      <w:r>
        <w:rPr>
          <w:rFonts w:hint="eastAsia"/>
        </w:rPr>
        <w:t>侵犯专利权责任险赔案扩展信息表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8"/>
        <w:gridCol w:w="1324"/>
        <w:gridCol w:w="813"/>
        <w:gridCol w:w="673"/>
        <w:gridCol w:w="673"/>
        <w:gridCol w:w="2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05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2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234"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QFZLQZRXPAKZXXB</w:t>
            </w:r>
          </w:p>
        </w:tc>
        <w:tc>
          <w:tcPr>
            <w:tcW w:w="13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侵犯专利权责任险赔案扩展信息表</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1425</w:t>
            </w:r>
          </w:p>
        </w:tc>
        <w:tc>
          <w:tcPr>
            <w:tcW w:w="4234"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本表报送侵犯专利权责任险赔案信息。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05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2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7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7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8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8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8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8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8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8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3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8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专利号</w:t>
            </w:r>
          </w:p>
        </w:tc>
        <w:tc>
          <w:tcPr>
            <w:tcW w:w="13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ZLH</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014011</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8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指在授予专利权时给出的编号。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专利名称</w:t>
            </w:r>
          </w:p>
        </w:tc>
        <w:tc>
          <w:tcPr>
            <w:tcW w:w="13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ZLMC</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8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专利的名称。</w:t>
            </w:r>
          </w:p>
        </w:tc>
      </w:tr>
    </w:tbl>
    <w:p>
      <w:pPr>
        <w:pStyle w:val="44"/>
        <w:spacing w:line="560" w:lineRule="exact"/>
        <w:rPr>
          <w:rFonts w:ascii="Calibri" w:hAnsi="Calibri"/>
          <w:szCs w:val="22"/>
        </w:rPr>
      </w:pPr>
    </w:p>
    <w:p>
      <w:pPr>
        <w:pStyle w:val="6"/>
        <w:numPr>
          <w:ilvl w:val="0"/>
          <w:numId w:val="4"/>
        </w:numPr>
        <w:ind w:firstLine="600"/>
      </w:pPr>
      <w:r>
        <w:rPr>
          <w:rFonts w:hint="eastAsia"/>
        </w:rPr>
        <w:t>建筑工程设计责任险赔案扩展信息表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1510"/>
        <w:gridCol w:w="805"/>
        <w:gridCol w:w="650"/>
        <w:gridCol w:w="650"/>
        <w:gridCol w:w="2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05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51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0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062"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JZGCSJZRXPAKZXXB</w:t>
            </w:r>
          </w:p>
        </w:tc>
        <w:tc>
          <w:tcPr>
            <w:tcW w:w="15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建筑工程设计责任险赔案扩展信息表</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1426</w:t>
            </w:r>
          </w:p>
        </w:tc>
        <w:tc>
          <w:tcPr>
            <w:tcW w:w="4062"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本表报送建筑工程设计责任险的赔案信息。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05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51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0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5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5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76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5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6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5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6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5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6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5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6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5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6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5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6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建筑设计单位名称</w:t>
            </w:r>
          </w:p>
        </w:tc>
        <w:tc>
          <w:tcPr>
            <w:tcW w:w="15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JZSJDWMC</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6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建筑设计单位的名称。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建筑设计单位地址所在省</w:t>
            </w:r>
          </w:p>
        </w:tc>
        <w:tc>
          <w:tcPr>
            <w:tcW w:w="15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JZSJDWDZSZS</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6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建设设计单位地址所在省，默认值000000，对应《业务代码表》中的“县及县以上行政区划”，填报中文描述。例如：北京市、天津市、河北省等。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建筑设计单位地址</w:t>
            </w:r>
          </w:p>
        </w:tc>
        <w:tc>
          <w:tcPr>
            <w:tcW w:w="15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JZSJDWDZ</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6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建筑设计单位地址，包含省市区县及街道名称和门牌号码。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执业许可证号</w:t>
            </w:r>
          </w:p>
        </w:tc>
        <w:tc>
          <w:tcPr>
            <w:tcW w:w="15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ZYXKZH</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001043</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6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建筑设计单位的执业许可证号。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20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建筑工程设计企业资质等级</w:t>
            </w:r>
          </w:p>
        </w:tc>
        <w:tc>
          <w:tcPr>
            <w:tcW w:w="15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JZGCSJQYZZDJ</w:t>
            </w:r>
          </w:p>
        </w:tc>
        <w:tc>
          <w:tcPr>
            <w:tcW w:w="8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013002</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6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建筑工程项目的设计单位设计资质等级，填报中文描述。包括：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甲级</w:t>
            </w:r>
            <w:r>
              <w:rPr>
                <w:rFonts w:hint="eastAsia" w:ascii="宋体" w:hAnsi="宋体" w:cs="宋体"/>
                <w:color w:val="000000"/>
                <w:kern w:val="0"/>
                <w:szCs w:val="21"/>
              </w:rPr>
              <w:br w:type="textWrapping"/>
            </w:r>
            <w:r>
              <w:rPr>
                <w:rFonts w:hint="eastAsia" w:ascii="宋体" w:hAnsi="宋体" w:cs="宋体"/>
                <w:color w:val="000000"/>
                <w:kern w:val="0"/>
                <w:szCs w:val="21"/>
              </w:rPr>
              <w:t>乙级</w:t>
            </w:r>
            <w:r>
              <w:rPr>
                <w:rFonts w:hint="eastAsia" w:ascii="宋体" w:hAnsi="宋体" w:cs="宋体"/>
                <w:color w:val="000000"/>
                <w:kern w:val="0"/>
                <w:szCs w:val="21"/>
              </w:rPr>
              <w:br w:type="textWrapping"/>
            </w:r>
            <w:r>
              <w:rPr>
                <w:rFonts w:hint="eastAsia" w:ascii="宋体" w:hAnsi="宋体" w:cs="宋体"/>
                <w:color w:val="000000"/>
                <w:kern w:val="0"/>
                <w:szCs w:val="21"/>
              </w:rPr>
              <w:t>丙级</w:t>
            </w:r>
            <w:r>
              <w:rPr>
                <w:rFonts w:hint="eastAsia" w:ascii="宋体" w:hAnsi="宋体" w:cs="宋体"/>
                <w:color w:val="000000"/>
                <w:kern w:val="0"/>
                <w:szCs w:val="21"/>
              </w:rPr>
              <w:br w:type="textWrapping"/>
            </w:r>
            <w:r>
              <w:rPr>
                <w:rFonts w:hint="eastAsia" w:ascii="宋体" w:hAnsi="宋体" w:cs="宋体"/>
                <w:color w:val="000000"/>
                <w:kern w:val="0"/>
                <w:szCs w:val="21"/>
              </w:rPr>
              <w:t>丁级</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bl>
    <w:p>
      <w:pPr>
        <w:pStyle w:val="44"/>
        <w:spacing w:line="560" w:lineRule="exact"/>
        <w:rPr>
          <w:rFonts w:ascii="Calibri" w:hAnsi="Calibri"/>
          <w:szCs w:val="22"/>
        </w:rPr>
      </w:pPr>
    </w:p>
    <w:p>
      <w:pPr>
        <w:pStyle w:val="6"/>
        <w:numPr>
          <w:ilvl w:val="0"/>
          <w:numId w:val="4"/>
        </w:numPr>
        <w:ind w:firstLine="600"/>
      </w:pPr>
      <w:r>
        <w:rPr>
          <w:rFonts w:hint="eastAsia"/>
        </w:rPr>
        <w:t>产品质量安全责任险保单扩展信息表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6"/>
        <w:gridCol w:w="1297"/>
        <w:gridCol w:w="809"/>
        <w:gridCol w:w="662"/>
        <w:gridCol w:w="662"/>
        <w:gridCol w:w="28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7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29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0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147"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CPZLAQZRXBDKZXXB</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产品质量安全责任险保单扩展信息表</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1427</w:t>
            </w:r>
          </w:p>
        </w:tc>
        <w:tc>
          <w:tcPr>
            <w:tcW w:w="4147"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本表报送产品质量安全责任险的信息。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7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29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0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6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6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2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企业名称</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QYMC</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企业的注册名称。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企业地址所在省</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QYDZSZS</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企业地址</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QYDZ</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产品名称</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CPMC</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产品名称。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产品型号</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CPXH1</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产品型号。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产品用途</w:t>
            </w:r>
          </w:p>
        </w:tc>
        <w:tc>
          <w:tcPr>
            <w:tcW w:w="12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CPYT</w:t>
            </w:r>
          </w:p>
        </w:tc>
        <w:tc>
          <w:tcPr>
            <w:tcW w:w="80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产品用途。</w:t>
            </w:r>
          </w:p>
        </w:tc>
      </w:tr>
    </w:tbl>
    <w:p>
      <w:pPr>
        <w:pStyle w:val="44"/>
        <w:spacing w:line="560" w:lineRule="exact"/>
        <w:rPr>
          <w:rFonts w:ascii="Calibri" w:hAnsi="Calibri"/>
          <w:szCs w:val="22"/>
        </w:rPr>
      </w:pPr>
    </w:p>
    <w:p>
      <w:pPr>
        <w:pStyle w:val="6"/>
        <w:numPr>
          <w:ilvl w:val="0"/>
          <w:numId w:val="4"/>
        </w:numPr>
        <w:ind w:firstLine="600"/>
      </w:pPr>
      <w:r>
        <w:rPr>
          <w:rFonts w:hint="eastAsia"/>
        </w:rPr>
        <w:t>产品召回责任险保单扩展信息表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1"/>
        <w:gridCol w:w="1347"/>
        <w:gridCol w:w="814"/>
        <w:gridCol w:w="682"/>
        <w:gridCol w:w="682"/>
        <w:gridCol w:w="2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96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4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307"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CPZHZRXBDKZXXB</w:t>
            </w:r>
          </w:p>
        </w:tc>
        <w:tc>
          <w:tcPr>
            <w:tcW w:w="13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产品召回责任险保单扩展信息表</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1428</w:t>
            </w:r>
          </w:p>
        </w:tc>
        <w:tc>
          <w:tcPr>
            <w:tcW w:w="4307"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本表报送产品召回责任险的信息。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96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4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8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8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9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9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9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企业名称</w:t>
            </w:r>
          </w:p>
        </w:tc>
        <w:tc>
          <w:tcPr>
            <w:tcW w:w="13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QYMC</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企业的注册名称。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9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企业地址所在省</w:t>
            </w:r>
          </w:p>
        </w:tc>
        <w:tc>
          <w:tcPr>
            <w:tcW w:w="13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QYDZSZS</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企业地址</w:t>
            </w:r>
          </w:p>
        </w:tc>
        <w:tc>
          <w:tcPr>
            <w:tcW w:w="13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QYDZ</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企业地址，包含省市区县及街道名称和门牌号码。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产品名称</w:t>
            </w:r>
          </w:p>
        </w:tc>
        <w:tc>
          <w:tcPr>
            <w:tcW w:w="13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CPMC</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产品名称。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96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产品型号</w:t>
            </w:r>
          </w:p>
        </w:tc>
        <w:tc>
          <w:tcPr>
            <w:tcW w:w="13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CPXH1</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产品型号。</w:t>
            </w:r>
          </w:p>
        </w:tc>
      </w:tr>
    </w:tbl>
    <w:p>
      <w:pPr>
        <w:pStyle w:val="44"/>
        <w:spacing w:line="560" w:lineRule="exact"/>
        <w:rPr>
          <w:rFonts w:ascii="Calibri" w:hAnsi="Calibri"/>
          <w:szCs w:val="22"/>
        </w:rPr>
      </w:pPr>
    </w:p>
    <w:p>
      <w:pPr>
        <w:pStyle w:val="6"/>
        <w:numPr>
          <w:ilvl w:val="0"/>
          <w:numId w:val="4"/>
        </w:numPr>
        <w:ind w:firstLine="600"/>
      </w:pPr>
      <w:r>
        <w:rPr>
          <w:rFonts w:hint="eastAsia"/>
        </w:rPr>
        <w:t>航空延误责任险赔案扩展信息表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7"/>
        <w:gridCol w:w="1333"/>
        <w:gridCol w:w="807"/>
        <w:gridCol w:w="676"/>
        <w:gridCol w:w="676"/>
        <w:gridCol w:w="2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02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3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0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262"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HKYWZRXPAKZXXB</w:t>
            </w:r>
          </w:p>
        </w:tc>
        <w:tc>
          <w:tcPr>
            <w:tcW w:w="13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航空延误责任险赔案扩展信息表</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1429</w:t>
            </w:r>
          </w:p>
        </w:tc>
        <w:tc>
          <w:tcPr>
            <w:tcW w:w="4262"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本表报送航空延误责任险的赔案航班信息。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02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3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0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7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7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91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1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1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1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1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1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3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1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航空承运人名称</w:t>
            </w:r>
          </w:p>
        </w:tc>
        <w:tc>
          <w:tcPr>
            <w:tcW w:w="13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HKCYRMC</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1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航空公司法人代表名称。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航班号</w:t>
            </w:r>
          </w:p>
        </w:tc>
        <w:tc>
          <w:tcPr>
            <w:tcW w:w="13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HBH</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020004</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1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航班号。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航班预计出发时间</w:t>
            </w:r>
          </w:p>
        </w:tc>
        <w:tc>
          <w:tcPr>
            <w:tcW w:w="13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HBYJCFSJ</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1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航班预计出发时间。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航班预计到达时间</w:t>
            </w:r>
          </w:p>
        </w:tc>
        <w:tc>
          <w:tcPr>
            <w:tcW w:w="13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HBYJDDSJ</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001002</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1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航班预计到达时间。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航班出发地</w:t>
            </w:r>
          </w:p>
        </w:tc>
        <w:tc>
          <w:tcPr>
            <w:tcW w:w="13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HBCFD</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1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航班出发地。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航班目的地</w:t>
            </w:r>
          </w:p>
        </w:tc>
        <w:tc>
          <w:tcPr>
            <w:tcW w:w="133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HBMDD</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1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航班目的地。</w:t>
            </w:r>
          </w:p>
        </w:tc>
      </w:tr>
    </w:tbl>
    <w:p>
      <w:pPr>
        <w:pStyle w:val="44"/>
        <w:spacing w:line="560" w:lineRule="exact"/>
        <w:rPr>
          <w:rFonts w:ascii="Calibri" w:hAnsi="Calibri"/>
          <w:szCs w:val="22"/>
        </w:rPr>
      </w:pPr>
    </w:p>
    <w:p>
      <w:pPr>
        <w:pStyle w:val="6"/>
        <w:numPr>
          <w:ilvl w:val="0"/>
          <w:numId w:val="4"/>
        </w:numPr>
        <w:ind w:firstLine="600"/>
      </w:pPr>
      <w:r>
        <w:rPr>
          <w:rFonts w:hint="eastAsia"/>
        </w:rPr>
        <w:t>疫苗责任险赔案扩展信息表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7"/>
        <w:gridCol w:w="1391"/>
        <w:gridCol w:w="821"/>
        <w:gridCol w:w="700"/>
        <w:gridCol w:w="700"/>
        <w:gridCol w:w="3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6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50"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6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YMZRXPAKZXXB</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疫苗责任险赔案扩展信息表</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1430</w:t>
            </w:r>
          </w:p>
        </w:tc>
        <w:tc>
          <w:tcPr>
            <w:tcW w:w="4450"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本表报送疫苗责任险的赔案扩展信息。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6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0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5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6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6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6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6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6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6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6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疫苗生产企业名称</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YMSCQYMC</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疫苗生产企业名称。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6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疫苗名称</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YMMC</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疫苗的名称。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6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疫苗批次号</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YMPCH</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市面上销售疫苗的批次号。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6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疫苗注射日期</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YMZSRQ</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疫苗注射日期。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6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出险人数</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CXRS</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疫苗责任险该赔案下总出险人数。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6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死亡人数</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SWRS1</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疫苗责任险该赔案下总死亡人数。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6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伤残人数</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SCRS</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疫苗责任险该赔案下总伤残人数。</w:t>
            </w:r>
          </w:p>
        </w:tc>
      </w:tr>
    </w:tbl>
    <w:p>
      <w:pPr>
        <w:pStyle w:val="44"/>
        <w:spacing w:line="560" w:lineRule="exact"/>
        <w:rPr>
          <w:szCs w:val="22"/>
        </w:rPr>
      </w:pPr>
    </w:p>
    <w:p>
      <w:pPr>
        <w:pStyle w:val="4"/>
      </w:pPr>
      <w:bookmarkStart w:id="65" w:name="_Toc1525457130"/>
      <w:bookmarkStart w:id="66" w:name="_Toc8428"/>
      <w:r>
        <w:rPr>
          <w:rFonts w:hint="eastAsia"/>
        </w:rPr>
        <w:t>信用险专项信息</w:t>
      </w:r>
      <w:bookmarkEnd w:id="65"/>
      <w:bookmarkEnd w:id="66"/>
    </w:p>
    <w:p>
      <w:pPr>
        <w:pStyle w:val="51"/>
        <w:numPr>
          <w:ilvl w:val="0"/>
          <w:numId w:val="20"/>
        </w:numPr>
      </w:pPr>
      <w:r>
        <w:rPr>
          <w:rFonts w:hint="eastAsia"/>
        </w:rPr>
        <w:t>信用保险保单扩展信息表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2"/>
        <w:gridCol w:w="1656"/>
        <w:gridCol w:w="807"/>
        <w:gridCol w:w="689"/>
        <w:gridCol w:w="689"/>
        <w:gridCol w:w="29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0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65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0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364"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XYBXBDKZXXB</w:t>
            </w:r>
          </w:p>
        </w:tc>
        <w:tc>
          <w:tcPr>
            <w:tcW w:w="16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信用保险保单扩展信息表</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1501</w:t>
            </w:r>
          </w:p>
        </w:tc>
        <w:tc>
          <w:tcPr>
            <w:tcW w:w="4364"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本表报送信用保险保单相关扩展信息。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0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65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0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8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8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98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6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8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6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8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6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8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6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8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6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8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6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险类</w:t>
            </w:r>
          </w:p>
        </w:tc>
        <w:tc>
          <w:tcPr>
            <w:tcW w:w="16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XL</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004001</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8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产品的险种分类，对应《业务代码表》中的“险类”，填报中文描述。例如：机动车辆保险-机动车商业保险（非强制保险）-机动车商业三者险、机动车商业车损险、企业财产保险、特殊风险财产保险-航空保险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普惠型小微企业贷款标志</w:t>
            </w:r>
          </w:p>
        </w:tc>
        <w:tc>
          <w:tcPr>
            <w:tcW w:w="16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PHXXWQYDKBZ</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8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险类为融资性信用保险时，必填。该保单是否属于普惠型小微企业贷款的标志。普惠型小微企业贷款是指单户授信总额1000万元及以下小微企业贷款。填报中文描述：是，否。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6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融资金额</w:t>
            </w:r>
          </w:p>
        </w:tc>
        <w:tc>
          <w:tcPr>
            <w:tcW w:w="16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RZJE</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8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融资金额包括获得或提供的融资金额。获得融资金额是指非融资性信用保险中的投保人/被保险人通过信用保险保单获得的贷款额度，如无法准确提供，可根据保险公司、被保险人及银行三方签署的赔款转让协议的金额予以确定。提供融资金额是指融资性信用保险中的被保险人向履约义务人提供的融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资产证券化信用保险标志</w:t>
            </w:r>
          </w:p>
        </w:tc>
        <w:tc>
          <w:tcPr>
            <w:tcW w:w="16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ZCZQHXYBXBZ</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8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险类为融资性信用保险时，必填。该保单是否承保资产证券化业务的标志。填报中文描述：是，否。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债权转让类信用保险标志</w:t>
            </w:r>
          </w:p>
        </w:tc>
        <w:tc>
          <w:tcPr>
            <w:tcW w:w="16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ZQZRLXYBXBZ</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8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险类为融资性信用保险时，必填。该保单是否承保债权转让类业务的标志。填报中文描述：是，否。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互联网贷款信用保险标志</w:t>
            </w:r>
          </w:p>
        </w:tc>
        <w:tc>
          <w:tcPr>
            <w:tcW w:w="165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HLWDKXYBXBZ</w:t>
            </w:r>
          </w:p>
        </w:tc>
        <w:tc>
          <w:tcPr>
            <w:tcW w:w="8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8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8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险类为融资性信用保险时，必填。该保单是否承保互联网贷款业务的标志。填报中文描述：是，否。</w:t>
            </w:r>
          </w:p>
        </w:tc>
      </w:tr>
    </w:tbl>
    <w:p>
      <w:pPr>
        <w:pStyle w:val="44"/>
        <w:spacing w:line="560" w:lineRule="exact"/>
        <w:rPr>
          <w:rFonts w:ascii="Calibri" w:hAnsi="Calibri"/>
          <w:szCs w:val="22"/>
        </w:rPr>
      </w:pPr>
    </w:p>
    <w:p>
      <w:pPr>
        <w:pStyle w:val="6"/>
        <w:numPr>
          <w:ilvl w:val="0"/>
          <w:numId w:val="4"/>
        </w:numPr>
        <w:ind w:firstLine="600"/>
      </w:pPr>
      <w:r>
        <w:rPr>
          <w:rFonts w:hint="eastAsia"/>
        </w:rPr>
        <w:t>国内贸易信用保险保单扩展信息表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7"/>
        <w:gridCol w:w="1307"/>
        <w:gridCol w:w="804"/>
        <w:gridCol w:w="666"/>
        <w:gridCol w:w="666"/>
        <w:gridCol w:w="2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0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0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181"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GNMYXYBXBDKZXXB</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国内贸易信用保险保单扩展信息表</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1502</w:t>
            </w:r>
          </w:p>
        </w:tc>
        <w:tc>
          <w:tcPr>
            <w:tcW w:w="4181"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本表报送国内贸易信用保险保单相关信息。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1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0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0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6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6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4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承保范围</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CBFW</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保险人按照保险合同约定，承担保险责任的范围。国内贸易险承保范围包括：全部的国内赊销、部分买方的赊销，或部分产品的赊销。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最低保费</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ZDBF</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保险合同中约定的、被保险人在保单年度有效期内应缴纳的最低保险费金额，是保险合同中明确约定的内容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预收保费标志</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YSBFBZ</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国内贸易险中，保费类型是否为预收保费的标志，填报中文描述：是，否。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预收保费</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YSBF</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被保险人根据保险合同和实际业务金额，与保险人协商约定保费金额，由被保险人预先交纳。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实报实收标志</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SBSSBZ</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国内贸易险中，保费类型是否为实报实收的标志。填报中文描述：是，否。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销售额申报频率</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XSESBPL</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015001</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在贸易信用保险中，被保险人向保险人申报销售额的频率，填报中文描述。包括：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即时申报</w:t>
            </w:r>
            <w:r>
              <w:rPr>
                <w:rFonts w:hint="eastAsia" w:ascii="宋体" w:hAnsi="宋体" w:cs="宋体"/>
                <w:color w:val="000000"/>
                <w:kern w:val="0"/>
                <w:szCs w:val="21"/>
              </w:rPr>
              <w:br w:type="textWrapping"/>
            </w:r>
            <w:r>
              <w:rPr>
                <w:rFonts w:hint="eastAsia" w:ascii="宋体" w:hAnsi="宋体" w:cs="宋体"/>
                <w:color w:val="000000"/>
                <w:kern w:val="0"/>
                <w:szCs w:val="21"/>
              </w:rPr>
              <w:t>周申报</w:t>
            </w:r>
            <w:r>
              <w:rPr>
                <w:rFonts w:hint="eastAsia" w:ascii="宋体" w:hAnsi="宋体" w:cs="宋体"/>
                <w:color w:val="000000"/>
                <w:kern w:val="0"/>
                <w:szCs w:val="21"/>
              </w:rPr>
              <w:br w:type="textWrapping"/>
            </w:r>
            <w:r>
              <w:rPr>
                <w:rFonts w:hint="eastAsia" w:ascii="宋体" w:hAnsi="宋体" w:cs="宋体"/>
                <w:color w:val="000000"/>
                <w:kern w:val="0"/>
                <w:szCs w:val="21"/>
              </w:rPr>
              <w:t>半月申报</w:t>
            </w:r>
            <w:r>
              <w:rPr>
                <w:rFonts w:hint="eastAsia" w:ascii="宋体" w:hAnsi="宋体" w:cs="宋体"/>
                <w:color w:val="000000"/>
                <w:kern w:val="0"/>
                <w:szCs w:val="21"/>
              </w:rPr>
              <w:br w:type="textWrapping"/>
            </w:r>
            <w:r>
              <w:rPr>
                <w:rFonts w:hint="eastAsia" w:ascii="宋体" w:hAnsi="宋体" w:cs="宋体"/>
                <w:color w:val="000000"/>
                <w:kern w:val="0"/>
                <w:szCs w:val="21"/>
              </w:rPr>
              <w:t>月申报</w:t>
            </w:r>
            <w:r>
              <w:rPr>
                <w:rFonts w:hint="eastAsia" w:ascii="宋体" w:hAnsi="宋体" w:cs="宋体"/>
                <w:color w:val="000000"/>
                <w:kern w:val="0"/>
                <w:szCs w:val="21"/>
              </w:rPr>
              <w:br w:type="textWrapping"/>
            </w:r>
            <w:r>
              <w:rPr>
                <w:rFonts w:hint="eastAsia" w:ascii="宋体" w:hAnsi="宋体" w:cs="宋体"/>
                <w:color w:val="000000"/>
                <w:kern w:val="0"/>
                <w:szCs w:val="21"/>
              </w:rPr>
              <w:t>季申报</w:t>
            </w:r>
            <w:r>
              <w:rPr>
                <w:rFonts w:hint="eastAsia" w:ascii="宋体" w:hAnsi="宋体" w:cs="宋体"/>
                <w:color w:val="000000"/>
                <w:kern w:val="0"/>
                <w:szCs w:val="21"/>
              </w:rPr>
              <w:br w:type="textWrapping"/>
            </w:r>
            <w:r>
              <w:rPr>
                <w:rFonts w:hint="eastAsia" w:ascii="宋体" w:hAnsi="宋体" w:cs="宋体"/>
                <w:color w:val="000000"/>
                <w:kern w:val="0"/>
                <w:szCs w:val="21"/>
              </w:rPr>
              <w:t>半年申报</w:t>
            </w:r>
            <w:r>
              <w:rPr>
                <w:rFonts w:hint="eastAsia" w:ascii="宋体" w:hAnsi="宋体" w:cs="宋体"/>
                <w:color w:val="000000"/>
                <w:kern w:val="0"/>
                <w:szCs w:val="21"/>
              </w:rPr>
              <w:br w:type="textWrapping"/>
            </w:r>
            <w:r>
              <w:rPr>
                <w:rFonts w:hint="eastAsia" w:ascii="宋体" w:hAnsi="宋体" w:cs="宋体"/>
                <w:color w:val="000000"/>
                <w:kern w:val="0"/>
                <w:szCs w:val="21"/>
              </w:rPr>
              <w:t>年申报</w:t>
            </w:r>
            <w:r>
              <w:rPr>
                <w:rFonts w:hint="eastAsia" w:ascii="宋体" w:hAnsi="宋体" w:cs="宋体"/>
                <w:color w:val="000000"/>
                <w:kern w:val="0"/>
                <w:szCs w:val="21"/>
              </w:rPr>
              <w:br w:type="textWrapping"/>
            </w:r>
            <w:r>
              <w:rPr>
                <w:rFonts w:hint="eastAsia" w:ascii="宋体" w:hAnsi="宋体" w:cs="宋体"/>
                <w:color w:val="000000"/>
                <w:kern w:val="0"/>
                <w:szCs w:val="21"/>
              </w:rPr>
              <w:t>其他申报方式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销售额申报方式</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XSESBFS</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015004</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在贸易信用保险中，被保险人向保险人申报销售额的方式，对应《业务代码表》中的“销售额申报方式”，填报中文描述。例如：明细申报、海关总额申报等。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自行掌握限额</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ZXZWXE</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xml:space="preserve">又称自定信用限额，保险人在保险合同约定的承保条件内，自动赋予被保险人对特定买方开展国内赊销可能承担保险责任的最高限额，无须保险人审批。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信用限额闲置期</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XYXEXZQ</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xml:space="preserve">信用限额经保险人批复后，保单所允许的在该信用限额项下可以连续无申报的期限天数。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最长信用期限</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ZCXYQX</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保单项下被保险人交付货物使用的信用期限或被保险人自行展延后的信用期限的最大值，单位为天。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赔偿比例</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PCBL</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保险责任范围内，被保险人的损失金额与赔付金额的比例。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赔款等待期</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PKDDQ</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根据保单约定，被保险人向保险人报案之后至提出索赔/保险人核损的最短期限，单位为天。致损原因不同，赔款等待期也不同。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累计批复限额</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LJPFXE</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保险人对买方财务状况和资信情况经调查、评估后，对所有买家批复的信用额度的累计。被保险人在保险期间提出的对其买家信用额度的变更，经保险人批复后也需填报。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累计批复限额币种</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LJPFXEBZ</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累计批复限额的币种，对应《业务代码表》中的“币种”，填报字母。例如：CNY、EUR、JRY等。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累计申报金额</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LJSBJE</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被保险人在保单规定期限内，按适保范围向，向保险人申报的累计交易金额。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累计申报金额币种</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LJSBJEBZ</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累计申报金额的币种，对应《业务代码表》中的“币种”，填报字母。例如：CNY、EUR、JRY等。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累计申报保费</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LJSBBF</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根据出运申报单，按照约定的费率计算的应缴纳的保险费的累计金额。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1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累计申报保费币种</w:t>
            </w:r>
          </w:p>
        </w:tc>
        <w:tc>
          <w:tcPr>
            <w:tcW w:w="13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LJSBBFBZ</w:t>
            </w:r>
          </w:p>
        </w:tc>
        <w:tc>
          <w:tcPr>
            <w:tcW w:w="8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4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累计申报保费的币种，对应《业务代码表》中的“币种”，填报字母。例如：CNY、EUR、JRY等。</w:t>
            </w:r>
          </w:p>
        </w:tc>
      </w:tr>
    </w:tbl>
    <w:p>
      <w:pPr>
        <w:pStyle w:val="44"/>
        <w:spacing w:line="560" w:lineRule="exact"/>
        <w:rPr>
          <w:rFonts w:ascii="Calibri" w:hAnsi="Calibri"/>
          <w:szCs w:val="22"/>
        </w:rPr>
      </w:pPr>
    </w:p>
    <w:p>
      <w:pPr>
        <w:pStyle w:val="6"/>
        <w:numPr>
          <w:ilvl w:val="0"/>
          <w:numId w:val="4"/>
        </w:numPr>
        <w:ind w:firstLine="600"/>
      </w:pPr>
      <w:r>
        <w:rPr>
          <w:rFonts w:hint="eastAsia"/>
        </w:rPr>
        <w:t>短期出口信用保险保单扩展信息表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2"/>
        <w:gridCol w:w="1785"/>
        <w:gridCol w:w="778"/>
        <w:gridCol w:w="623"/>
        <w:gridCol w:w="623"/>
        <w:gridCol w:w="2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02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78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77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3844"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DQCKXYBXBDKZXXB</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短期出口信用保险保单扩展信息表</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1503</w:t>
            </w:r>
          </w:p>
        </w:tc>
        <w:tc>
          <w:tcPr>
            <w:tcW w:w="3844"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本表报送短期出口信用保险保单相关信息。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202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78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77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2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2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59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信用保险约定保险范围</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XYBXYDBXFW</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015005</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保险人按照保险合同约定，可以承担保险责任的范围。短期出口信用保险的约定保险范围，按照实际情况填报多种，用分号隔开。填报中文说明。包括：</w:t>
            </w:r>
            <w:r>
              <w:rPr>
                <w:rFonts w:hint="eastAsia" w:ascii="宋体" w:hAnsi="宋体" w:cs="宋体"/>
                <w:color w:val="000000"/>
                <w:kern w:val="0"/>
                <w:szCs w:val="21"/>
              </w:rPr>
              <w:br w:type="textWrapping"/>
            </w:r>
            <w:r>
              <w:rPr>
                <w:rFonts w:hint="eastAsia" w:ascii="宋体" w:hAnsi="宋体" w:cs="宋体"/>
                <w:color w:val="000000"/>
                <w:kern w:val="0"/>
                <w:szCs w:val="21"/>
              </w:rPr>
              <w:t>全部非信用证支付方式的出口</w:t>
            </w:r>
            <w:r>
              <w:rPr>
                <w:rFonts w:hint="eastAsia" w:ascii="宋体" w:hAnsi="宋体" w:cs="宋体"/>
                <w:color w:val="000000"/>
                <w:kern w:val="0"/>
                <w:szCs w:val="21"/>
              </w:rPr>
              <w:br w:type="textWrapping"/>
            </w:r>
            <w:r>
              <w:rPr>
                <w:rFonts w:hint="eastAsia" w:ascii="宋体" w:hAnsi="宋体" w:cs="宋体"/>
                <w:color w:val="000000"/>
                <w:kern w:val="0"/>
                <w:szCs w:val="21"/>
              </w:rPr>
              <w:t>全部信用证支付方式的出口</w:t>
            </w:r>
            <w:r>
              <w:rPr>
                <w:rFonts w:hint="eastAsia" w:ascii="宋体" w:hAnsi="宋体" w:cs="宋体"/>
                <w:color w:val="000000"/>
                <w:kern w:val="0"/>
                <w:szCs w:val="21"/>
              </w:rPr>
              <w:br w:type="textWrapping"/>
            </w:r>
            <w:r>
              <w:rPr>
                <w:rFonts w:hint="eastAsia" w:ascii="宋体" w:hAnsi="宋体" w:cs="宋体"/>
                <w:color w:val="000000"/>
                <w:kern w:val="0"/>
                <w:szCs w:val="21"/>
              </w:rPr>
              <w:t>部分非信用证支付方式的出口</w:t>
            </w:r>
            <w:r>
              <w:rPr>
                <w:rFonts w:hint="eastAsia" w:ascii="宋体" w:hAnsi="宋体" w:cs="宋体"/>
                <w:color w:val="000000"/>
                <w:kern w:val="0"/>
                <w:szCs w:val="21"/>
              </w:rPr>
              <w:br w:type="textWrapping"/>
            </w:r>
            <w:r>
              <w:rPr>
                <w:rFonts w:hint="eastAsia" w:ascii="宋体" w:hAnsi="宋体" w:cs="宋体"/>
                <w:color w:val="000000"/>
                <w:kern w:val="0"/>
                <w:szCs w:val="21"/>
              </w:rPr>
              <w:t>部分信用证支付方式的出口</w:t>
            </w:r>
            <w:r>
              <w:rPr>
                <w:rFonts w:hint="eastAsia" w:ascii="宋体" w:hAnsi="宋体" w:cs="宋体"/>
                <w:color w:val="000000"/>
                <w:kern w:val="0"/>
                <w:szCs w:val="21"/>
              </w:rPr>
              <w:br w:type="textWrapping"/>
            </w:r>
            <w:r>
              <w:rPr>
                <w:rFonts w:hint="eastAsia" w:ascii="宋体" w:hAnsi="宋体" w:cs="宋体"/>
                <w:color w:val="000000"/>
                <w:kern w:val="0"/>
                <w:szCs w:val="21"/>
              </w:rPr>
              <w:t>其他约定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年度最低保险费</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NDZDBXF</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保险合同中约定的、被保险人在保单年度有效期内应缴纳的最低保险费金额，是保险合同中明确约定的内容。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实报实收保费</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SBSSBF</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按照实际出口申报收取保险费。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预收保费</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YSBF</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被保险人根据保险合同和实际出口业务金额，与保险人协商约定保费金额，由被保险人预先交纳。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预收保费标志</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YSBFBZ</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短期出口信用险中，保费类型是否是预收保费的标志。填报中文描述：是，否。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实报实收标志</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SBSSBZ</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短期出口信用险中，保费类型是否为实报实收的标志。填报中文描述：是，否。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预计投保金额</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YJTBJE</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投保人预估保险期间内发生的贸易总额。单位为美元。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信用限额闲置期</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XYXEXZQ</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 xml:space="preserve">信用限额经保险人批复后，保单所允许的在该信用限额项下可以连续无申报的期限，单位为天。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风险类别</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FXLB</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015002</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保险的风险类别，填报中文描述。包括：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政治风险</w:t>
            </w:r>
            <w:r>
              <w:rPr>
                <w:rFonts w:hint="eastAsia" w:ascii="宋体" w:hAnsi="宋体" w:cs="宋体"/>
                <w:color w:val="000000"/>
                <w:kern w:val="0"/>
                <w:szCs w:val="21"/>
              </w:rPr>
              <w:br w:type="textWrapping"/>
            </w:r>
            <w:r>
              <w:rPr>
                <w:rFonts w:hint="eastAsia" w:ascii="宋体" w:hAnsi="宋体" w:cs="宋体"/>
                <w:color w:val="000000"/>
                <w:kern w:val="0"/>
                <w:szCs w:val="21"/>
              </w:rPr>
              <w:t>商业风险</w:t>
            </w:r>
            <w:r>
              <w:rPr>
                <w:rFonts w:hint="eastAsia" w:ascii="宋体" w:hAnsi="宋体" w:cs="宋体"/>
                <w:color w:val="000000"/>
                <w:kern w:val="0"/>
                <w:szCs w:val="21"/>
              </w:rPr>
              <w:br w:type="textWrapping"/>
            </w:r>
            <w:r>
              <w:rPr>
                <w:rFonts w:hint="eastAsia" w:ascii="宋体" w:hAnsi="宋体" w:cs="宋体"/>
                <w:color w:val="000000"/>
                <w:kern w:val="0"/>
                <w:szCs w:val="21"/>
              </w:rPr>
              <w:t>商业风险与政治风险</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销售额申报频率</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XSESBPL</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015001</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在贸易信用保险中，被保险人向保险人申报销售额的频率，填报中文描述。包括：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即时申报</w:t>
            </w:r>
            <w:r>
              <w:rPr>
                <w:rFonts w:hint="eastAsia" w:ascii="宋体" w:hAnsi="宋体" w:cs="宋体"/>
                <w:color w:val="000000"/>
                <w:kern w:val="0"/>
                <w:szCs w:val="21"/>
              </w:rPr>
              <w:br w:type="textWrapping"/>
            </w:r>
            <w:r>
              <w:rPr>
                <w:rFonts w:hint="eastAsia" w:ascii="宋体" w:hAnsi="宋体" w:cs="宋体"/>
                <w:color w:val="000000"/>
                <w:kern w:val="0"/>
                <w:szCs w:val="21"/>
              </w:rPr>
              <w:t>周申报</w:t>
            </w:r>
            <w:r>
              <w:rPr>
                <w:rFonts w:hint="eastAsia" w:ascii="宋体" w:hAnsi="宋体" w:cs="宋体"/>
                <w:color w:val="000000"/>
                <w:kern w:val="0"/>
                <w:szCs w:val="21"/>
              </w:rPr>
              <w:br w:type="textWrapping"/>
            </w:r>
            <w:r>
              <w:rPr>
                <w:rFonts w:hint="eastAsia" w:ascii="宋体" w:hAnsi="宋体" w:cs="宋体"/>
                <w:color w:val="000000"/>
                <w:kern w:val="0"/>
                <w:szCs w:val="21"/>
              </w:rPr>
              <w:t>半月申报</w:t>
            </w:r>
            <w:r>
              <w:rPr>
                <w:rFonts w:hint="eastAsia" w:ascii="宋体" w:hAnsi="宋体" w:cs="宋体"/>
                <w:color w:val="000000"/>
                <w:kern w:val="0"/>
                <w:szCs w:val="21"/>
              </w:rPr>
              <w:br w:type="textWrapping"/>
            </w:r>
            <w:r>
              <w:rPr>
                <w:rFonts w:hint="eastAsia" w:ascii="宋体" w:hAnsi="宋体" w:cs="宋体"/>
                <w:color w:val="000000"/>
                <w:kern w:val="0"/>
                <w:szCs w:val="21"/>
              </w:rPr>
              <w:t>月申报</w:t>
            </w:r>
            <w:r>
              <w:rPr>
                <w:rFonts w:hint="eastAsia" w:ascii="宋体" w:hAnsi="宋体" w:cs="宋体"/>
                <w:color w:val="000000"/>
                <w:kern w:val="0"/>
                <w:szCs w:val="21"/>
              </w:rPr>
              <w:br w:type="textWrapping"/>
            </w:r>
            <w:r>
              <w:rPr>
                <w:rFonts w:hint="eastAsia" w:ascii="宋体" w:hAnsi="宋体" w:cs="宋体"/>
                <w:color w:val="000000"/>
                <w:kern w:val="0"/>
                <w:szCs w:val="21"/>
              </w:rPr>
              <w:t>季申报</w:t>
            </w:r>
            <w:r>
              <w:rPr>
                <w:rFonts w:hint="eastAsia" w:ascii="宋体" w:hAnsi="宋体" w:cs="宋体"/>
                <w:color w:val="000000"/>
                <w:kern w:val="0"/>
                <w:szCs w:val="21"/>
              </w:rPr>
              <w:br w:type="textWrapping"/>
            </w:r>
            <w:r>
              <w:rPr>
                <w:rFonts w:hint="eastAsia" w:ascii="宋体" w:hAnsi="宋体" w:cs="宋体"/>
                <w:color w:val="000000"/>
                <w:kern w:val="0"/>
                <w:szCs w:val="21"/>
              </w:rPr>
              <w:t>半年申报</w:t>
            </w:r>
            <w:r>
              <w:rPr>
                <w:rFonts w:hint="eastAsia" w:ascii="宋体" w:hAnsi="宋体" w:cs="宋体"/>
                <w:color w:val="000000"/>
                <w:kern w:val="0"/>
                <w:szCs w:val="21"/>
              </w:rPr>
              <w:br w:type="textWrapping"/>
            </w:r>
            <w:r>
              <w:rPr>
                <w:rFonts w:hint="eastAsia" w:ascii="宋体" w:hAnsi="宋体" w:cs="宋体"/>
                <w:color w:val="000000"/>
                <w:kern w:val="0"/>
                <w:szCs w:val="21"/>
              </w:rPr>
              <w:t>年申报</w:t>
            </w:r>
            <w:r>
              <w:rPr>
                <w:rFonts w:hint="eastAsia" w:ascii="宋体" w:hAnsi="宋体" w:cs="宋体"/>
                <w:color w:val="000000"/>
                <w:kern w:val="0"/>
                <w:szCs w:val="21"/>
              </w:rPr>
              <w:br w:type="textWrapping"/>
            </w:r>
            <w:r>
              <w:rPr>
                <w:rFonts w:hint="eastAsia" w:ascii="宋体" w:hAnsi="宋体" w:cs="宋体"/>
                <w:color w:val="000000"/>
                <w:kern w:val="0"/>
                <w:szCs w:val="21"/>
              </w:rPr>
              <w:t>其他申报方式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销售额申报方式</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XSESBFS</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015004</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在贸易信用保险中，被保险人向保险人申报销售额的方式，对应《业务代码表》中的“销售额申报方式”，填报中文描述。例如：明细申报、海关总额申报等。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信用证商业风险赔偿比例</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XYZSYFXPCBL</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信用证支付方式下，商业风险所致损失的赔偿比例，取值范围0-1。适用于短期出口信用保险。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信用证政治风险赔偿比例</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XYZZZFXPCBL</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信用证支付方式下，政治风险所致损失的赔偿比例，取值范围0-1。适用于短期出口信用保险。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非信用证买方拒收赔偿比例</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FXYZMFJSPCBL</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非信用证支付方式下，买方拒收风险所致损失的赔偿比例，取值范围0-1。适用于短期出口信用保险。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非信用证其他商业风险赔偿比例</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FXYZQTSYFXPCBL</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非信用证支付方式下，其他商业风险所致损失的赔偿比例，取值范围0-1。适用于短期出口信用保险。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非信用证政治风险赔偿比例</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FXYZZZFXPCBL</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非信用证支付方式下，政治风险所致损失的赔偿比例，取值范围0-1。适用于短期出口信用保险。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出口前承保标志</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CKQCBBZ</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是否承保短期出口信用保险附加出运前风险保险的标志。填报中文描述：是，否。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赔款等待期</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PKDDQ</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根据保单约定，被保险人向保险人报案之后至提出索赔/保险人核损的最短期限，单位为天。致损原因不同，赔款等待期也不同。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累计批复限额</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LJPFXE</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保险人对买方财务状况和资信情况经调查、评估后，对所有买家批复的信用额度的累计。被保险人在保险期间提出的对其买家信用额度的变更，经保险人批复后也需填报。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累计批复限额币种</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LJPFXEBZ</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累计批复限额的币种，对应《业务代码表》中的“币种”，填报字母。例如：CNY、EUR、JRY等。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累计申报金额</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LJSBJE</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被保险人在保单规定期限内，按适保范围向，向保险人申报的累计交易金额。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累计申报金额币种</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LJSBJEBZ</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累计申报金额的币种，对应《业务代码表》中的“币种”，填报字母。例如：CNY、EUR、JRY等。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累计申报保费</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LJSBBF</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根据出运申报单，按照约定的费率计算的应缴纳的保险费的累计金额。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20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累计申报保费币种</w:t>
            </w:r>
          </w:p>
        </w:tc>
        <w:tc>
          <w:tcPr>
            <w:tcW w:w="178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LJSBBFBZ</w:t>
            </w:r>
          </w:p>
        </w:tc>
        <w:tc>
          <w:tcPr>
            <w:tcW w:w="7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59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累计申报保费的币种，对应《业务代码表》中的“币种”，填报字母。例如：CNY、EUR、JRY等。</w:t>
            </w:r>
          </w:p>
        </w:tc>
      </w:tr>
    </w:tbl>
    <w:p>
      <w:pPr>
        <w:pStyle w:val="44"/>
        <w:spacing w:line="560" w:lineRule="exact"/>
        <w:rPr>
          <w:rFonts w:ascii="Calibri" w:hAnsi="Calibri"/>
          <w:szCs w:val="22"/>
        </w:rPr>
      </w:pPr>
    </w:p>
    <w:p>
      <w:pPr>
        <w:pStyle w:val="6"/>
        <w:numPr>
          <w:ilvl w:val="0"/>
          <w:numId w:val="4"/>
        </w:numPr>
        <w:ind w:firstLine="600"/>
      </w:pPr>
      <w:r>
        <w:rPr>
          <w:rFonts w:hint="eastAsia"/>
        </w:rPr>
        <w:t>信用保险限额信息表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XYBXXEXXB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信用保险限额信息表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1504</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本表报送信用保险限额相关信息。仅贸易信用保险、出口信用保险需报送。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限额编号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XEBH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信用保险保单的限额编号。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买方编号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MFBH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保险公司内部定义的对买方的统一标识编号。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买方名称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MFMC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买卖双方贸易合同中约定的买方的名称。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贸易支付方式</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MYZFFS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015003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卖方与买方贸易过程中支付的方式，填报中文描述。包括：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付款交单</w:t>
            </w:r>
            <w:r>
              <w:rPr>
                <w:rFonts w:hint="eastAsia" w:ascii="宋体" w:hAnsi="宋体" w:cs="宋体"/>
                <w:color w:val="000000"/>
                <w:kern w:val="0"/>
                <w:szCs w:val="21"/>
              </w:rPr>
              <w:br w:type="textWrapping"/>
            </w:r>
            <w:r>
              <w:rPr>
                <w:rFonts w:hint="eastAsia" w:ascii="宋体" w:hAnsi="宋体" w:cs="宋体"/>
                <w:color w:val="000000"/>
                <w:kern w:val="0"/>
                <w:szCs w:val="21"/>
              </w:rPr>
              <w:t>承兑交单</w:t>
            </w:r>
            <w:r>
              <w:rPr>
                <w:rFonts w:hint="eastAsia" w:ascii="宋体" w:hAnsi="宋体" w:cs="宋体"/>
                <w:color w:val="000000"/>
                <w:kern w:val="0"/>
                <w:szCs w:val="21"/>
              </w:rPr>
              <w:br w:type="textWrapping"/>
            </w:r>
            <w:r>
              <w:rPr>
                <w:rFonts w:hint="eastAsia" w:ascii="宋体" w:hAnsi="宋体" w:cs="宋体"/>
                <w:color w:val="000000"/>
                <w:kern w:val="0"/>
                <w:szCs w:val="21"/>
              </w:rPr>
              <w:t>赊销</w:t>
            </w:r>
            <w:r>
              <w:rPr>
                <w:rFonts w:hint="eastAsia" w:ascii="宋体" w:hAnsi="宋体" w:cs="宋体"/>
                <w:color w:val="000000"/>
                <w:kern w:val="0"/>
                <w:szCs w:val="21"/>
              </w:rPr>
              <w:br w:type="textWrapping"/>
            </w:r>
            <w:r>
              <w:rPr>
                <w:rFonts w:hint="eastAsia" w:ascii="宋体" w:hAnsi="宋体" w:cs="宋体"/>
                <w:color w:val="000000"/>
                <w:kern w:val="0"/>
                <w:szCs w:val="21"/>
              </w:rPr>
              <w:t>信用证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信用期限</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XYQX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短期出口信用保险中，指货物出口之日起至买方或开征行应付款日止的期限天数。国内贸易信用保险中，指自被保险人交付货物之日起至贸易合同约定的买方应付款日止的期限天数，单位为天。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信用限额申请金额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XYXESQJE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被保险人向保险人就某一具体买方或开证行申请信用限额的金额。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信用限额批复金额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XYXEPFJE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又称批复信用限额，是指由保险人批复的，保险人对特定买方或特定开证行确定赔付基数的最高限额，是保险人控制承保风险的重要手段。通常需要限定贸易支付方式和信用期限。</w:t>
            </w:r>
          </w:p>
        </w:tc>
      </w:tr>
    </w:tbl>
    <w:p>
      <w:pPr>
        <w:pStyle w:val="44"/>
        <w:spacing w:line="560" w:lineRule="exact"/>
        <w:rPr>
          <w:rFonts w:ascii="Calibri" w:hAnsi="Calibri"/>
          <w:szCs w:val="22"/>
        </w:rPr>
      </w:pPr>
    </w:p>
    <w:p>
      <w:pPr>
        <w:pStyle w:val="6"/>
        <w:numPr>
          <w:ilvl w:val="0"/>
          <w:numId w:val="4"/>
        </w:numPr>
        <w:ind w:firstLine="600"/>
      </w:pPr>
      <w:r>
        <w:rPr>
          <w:rFonts w:hint="eastAsia"/>
        </w:rPr>
        <w:t>信用保险贷款合约信息表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9"/>
        <w:gridCol w:w="1478"/>
        <w:gridCol w:w="821"/>
        <w:gridCol w:w="700"/>
        <w:gridCol w:w="700"/>
        <w:gridCol w:w="3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7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7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51"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XYBXDKHYXXB</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信用保险贷款合约信息表</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1505</w:t>
            </w:r>
          </w:p>
        </w:tc>
        <w:tc>
          <w:tcPr>
            <w:tcW w:w="4451"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本表报送信用保险贷款合约相关信息。短期出口信用保险无需报送该表。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7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7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0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5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贷款机构名称</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DKJGMC</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贷款机构的中文名称。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贷款机构地址所在省</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DKJGDZSZS</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贷款机构地址所在省，默认值000000，对应《业务代码表》中的“县及县以上行政区划”，填报中文描述。例如：北京市、天津市、河北省等。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贷款机构地址详细信息</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DKJGDZXXXX</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贷款机构地址中除省、市、区县以外的详细地址信息，注明街道名称和门牌号码。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贷款机构证件类型</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DKJGZJLX</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贷款机构的证件类型，优先填报统一社会信用代码，对应《业务代码表》中的“机构证件类型”，填报中文描述。例如：统一社会信用代码、组织机构代码证等。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贷款机构证件号码</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DKJGZJHM</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贷款机构的证件号码。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贷款合约编号</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DKHYBH</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同一保单下，承保的贷款合同编号。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借款人机构标志</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JKRJGBZ</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贷款信用保险中，贷款合约中的借款人是否为机构的标志，填报中文描述：是，否。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借款机构证件类型</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JKJGZJLX</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若借款人为非自然人时，则必填。借款机构的证件类型，优先填报统一社会信用代码。对应《业务代码表》中的“机构证件类型”，填报中文描述。例如：统一社会信用代码、组织机构代码证等。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借款人证件类型</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JKRZJLX</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若借款人为自然人，则必填。借款人证件类型，对应《业务代码表》中的“个人身份证件类型”，填报中文描述。例如：居民身份证、军人身份证件、护照、出生医学证明等。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借款人证件号码</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JKRZJHM</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借款人的证件号码。当借款人为自然人时，隐私，财产保险公司变形。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借款人名称</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JKRMC</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保单下贷款合同借款人名称，借款人为自然人时填报自然人姓名，隐私，财产保险公司变形。为机构时填报机构全称。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贷款种类</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DKZL</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015006</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按贷款信用程度划分的贷款种类。例如：信用贷款、担保贷款、票据贴现等。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贷款总金额</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DKZJE</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保单下承保的贷款合同下的贷款总金额。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基准利率</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JZLL</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央行(中国人民银行)发布给商业银行的贷款指导性利率。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助学贷款标志</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ZXDKBZ</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是否为助学贷款。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贷款金额</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DKJE</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借款合同下约定的贷款本金。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贷款起始日期</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DKQSRQ</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贷款期限的开始日期。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贷款终止日期</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DKZZRQ</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贷款期限的终止日期。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计息起始日期</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JXQSRQ</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贷款开始计息的起始日期。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还款账户类型</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HKZHLX</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015007</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贷款的还款账户的类型，填报中文描述。包括：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个人结算账户</w:t>
            </w:r>
            <w:r>
              <w:rPr>
                <w:rFonts w:hint="eastAsia" w:ascii="宋体" w:hAnsi="宋体" w:cs="宋体"/>
                <w:color w:val="000000"/>
                <w:kern w:val="0"/>
                <w:szCs w:val="21"/>
              </w:rPr>
              <w:br w:type="textWrapping"/>
            </w:r>
            <w:r>
              <w:rPr>
                <w:rFonts w:hint="eastAsia" w:ascii="宋体" w:hAnsi="宋体" w:cs="宋体"/>
                <w:color w:val="000000"/>
                <w:kern w:val="0"/>
                <w:szCs w:val="21"/>
              </w:rPr>
              <w:t>储蓄账户</w:t>
            </w:r>
            <w:r>
              <w:rPr>
                <w:rFonts w:hint="eastAsia" w:ascii="宋体" w:hAnsi="宋体" w:cs="宋体"/>
                <w:color w:val="000000"/>
                <w:kern w:val="0"/>
                <w:szCs w:val="21"/>
              </w:rPr>
              <w:br w:type="textWrapping"/>
            </w:r>
            <w:r>
              <w:rPr>
                <w:rFonts w:hint="eastAsia" w:ascii="宋体" w:hAnsi="宋体" w:cs="宋体"/>
                <w:color w:val="000000"/>
                <w:kern w:val="0"/>
                <w:szCs w:val="21"/>
              </w:rPr>
              <w:t>个人支票账户</w:t>
            </w:r>
            <w:r>
              <w:rPr>
                <w:rFonts w:hint="eastAsia" w:ascii="宋体" w:hAnsi="宋体" w:cs="宋体"/>
                <w:color w:val="000000"/>
                <w:kern w:val="0"/>
                <w:szCs w:val="21"/>
              </w:rPr>
              <w:br w:type="textWrapping"/>
            </w:r>
            <w:r>
              <w:rPr>
                <w:rFonts w:hint="eastAsia" w:ascii="宋体" w:hAnsi="宋体" w:cs="宋体"/>
                <w:color w:val="000000"/>
                <w:kern w:val="0"/>
                <w:szCs w:val="21"/>
              </w:rPr>
              <w:t>信用卡账户</w:t>
            </w:r>
            <w:r>
              <w:rPr>
                <w:rFonts w:hint="eastAsia" w:ascii="宋体" w:hAnsi="宋体" w:cs="宋体"/>
                <w:color w:val="000000"/>
                <w:kern w:val="0"/>
                <w:szCs w:val="21"/>
              </w:rPr>
              <w:br w:type="textWrapping"/>
            </w:r>
            <w:r>
              <w:rPr>
                <w:rFonts w:hint="eastAsia" w:ascii="宋体" w:hAnsi="宋体" w:cs="宋体"/>
                <w:color w:val="000000"/>
                <w:kern w:val="0"/>
                <w:szCs w:val="21"/>
              </w:rPr>
              <w:t>第三方平台账户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还款账户开户行名称</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HKZHKHHMC</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信用保险标的贷款的还款账户开户银行的名称。还款账户类型代码为个人结算账户、储蓄账户、个人支票账户或信用卡账户时必填。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还款账户号码</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HKZHHM</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贷款的还款的银行账户号码，或第三方平台账号。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逾期原因</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YQYY</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015009</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逾期原因，填报中文描述。包括：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破产</w:t>
            </w:r>
            <w:r>
              <w:rPr>
                <w:rFonts w:hint="eastAsia" w:ascii="宋体" w:hAnsi="宋体" w:cs="宋体"/>
                <w:color w:val="000000"/>
                <w:kern w:val="0"/>
                <w:szCs w:val="21"/>
              </w:rPr>
              <w:br w:type="textWrapping"/>
            </w:r>
            <w:r>
              <w:rPr>
                <w:rFonts w:hint="eastAsia" w:ascii="宋体" w:hAnsi="宋体" w:cs="宋体"/>
                <w:color w:val="000000"/>
                <w:kern w:val="0"/>
                <w:szCs w:val="21"/>
              </w:rPr>
              <w:t>技术性拖欠</w:t>
            </w:r>
            <w:r>
              <w:rPr>
                <w:rFonts w:hint="eastAsia" w:ascii="宋体" w:hAnsi="宋体" w:cs="宋体"/>
                <w:color w:val="000000"/>
                <w:kern w:val="0"/>
                <w:szCs w:val="21"/>
              </w:rPr>
              <w:br w:type="textWrapping"/>
            </w:r>
            <w:r>
              <w:rPr>
                <w:rFonts w:hint="eastAsia" w:ascii="宋体" w:hAnsi="宋体" w:cs="宋体"/>
                <w:color w:val="000000"/>
                <w:kern w:val="0"/>
                <w:szCs w:val="21"/>
              </w:rPr>
              <w:t>习惯性拖欠</w:t>
            </w:r>
            <w:r>
              <w:rPr>
                <w:rFonts w:hint="eastAsia" w:ascii="宋体" w:hAnsi="宋体" w:cs="宋体"/>
                <w:color w:val="000000"/>
                <w:kern w:val="0"/>
                <w:szCs w:val="21"/>
              </w:rPr>
              <w:br w:type="textWrapping"/>
            </w:r>
            <w:r>
              <w:rPr>
                <w:rFonts w:hint="eastAsia" w:ascii="宋体" w:hAnsi="宋体" w:cs="宋体"/>
                <w:color w:val="000000"/>
                <w:kern w:val="0"/>
                <w:szCs w:val="21"/>
              </w:rPr>
              <w:t>恶意拖欠</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赔款等待期</w:t>
            </w:r>
          </w:p>
        </w:tc>
        <w:tc>
          <w:tcPr>
            <w:tcW w:w="14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PKDDQ</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被保险人从遭受损失或造成损失事件发生到获得保险人赔偿所等待的时间，单位为天。致损原因不同，赔款等待期也不同。</w:t>
            </w:r>
          </w:p>
        </w:tc>
      </w:tr>
    </w:tbl>
    <w:p>
      <w:pPr>
        <w:pStyle w:val="44"/>
        <w:spacing w:line="560" w:lineRule="exact"/>
        <w:rPr>
          <w:szCs w:val="22"/>
        </w:rPr>
      </w:pPr>
    </w:p>
    <w:p>
      <w:pPr>
        <w:pStyle w:val="4"/>
      </w:pPr>
      <w:bookmarkStart w:id="67" w:name="_Toc1698206024"/>
      <w:bookmarkStart w:id="68" w:name="_Toc25641"/>
      <w:r>
        <w:rPr>
          <w:rFonts w:hint="eastAsia"/>
        </w:rPr>
        <w:t>保证险专项信息</w:t>
      </w:r>
      <w:bookmarkEnd w:id="67"/>
      <w:bookmarkEnd w:id="68"/>
    </w:p>
    <w:p>
      <w:pPr>
        <w:pStyle w:val="51"/>
        <w:numPr>
          <w:ilvl w:val="0"/>
          <w:numId w:val="21"/>
        </w:numPr>
      </w:pPr>
      <w:r>
        <w:rPr>
          <w:rFonts w:hint="eastAsia"/>
        </w:rPr>
        <w:t>融资性保证保险保单扩展信息表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gridCol w:w="1927"/>
        <w:gridCol w:w="781"/>
        <w:gridCol w:w="625"/>
        <w:gridCol w:w="625"/>
        <w:gridCol w:w="26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86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92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78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385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RZXBZBXBDKZXXB</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融资性保证保险保单扩展信息表</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1601</w:t>
            </w:r>
          </w:p>
        </w:tc>
        <w:tc>
          <w:tcPr>
            <w:tcW w:w="385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本表报送融资性保证保险保单相关扩展信息，非融资性保证保险保单无需报送该表。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86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92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78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2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2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6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普惠型小微企业贷款标志</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PHXXWQYDKBZ</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险类为该保单是否属于普惠型小微企业贷款的标志。普惠型小微企业贷款是指单户授信总额1000万元及以下小微企业贷款。填报中文描述：是，否。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获得融资金额</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HDRZJE</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履约义务人获得的融资额度。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获得融资金额币种</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HDRZJEBZ</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获得融资金额对应的币种，对应《业务代码表》中的“币种”，填报字母。例如：CNY、EUR、JRY等。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获得融资金额人民币金额</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HDRZJERMBJE</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获得融资金额根据约定汇率折算成人民币后的金额。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获得银行融资标志</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HDYHRZBZ</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获得融资是否来自银行的标志。填报中文描述：是，否。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小额类贷款保证保险标志</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XELDKBZBXBZ</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该保单是否承保小额类贷款业务的标志。填报中文描述：是，否。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互联网贷款保证保险标志</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HLWDKBZBXBZ</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该保单是否承保互联网贷款业务的标志。填报中文描述：是，否。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债权转让类保证保险标志</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ZQZRLBZBXBZ</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该保单是否承保债权转让类业务的标志。填报中文描述：是，否。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资产证券化保证保险标志</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ZCZQHBZBXBZ</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该保单是否承保资产证券化业务的标志。填报中文描述：是，否。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应收账款质押类贷款保证保险标志</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YSZKZYLDKBZBXBZ</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该保单是否承保应收账款质押类贷款业务的标志。填报中文描述：是，否。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科技型企业贷款保证保险标志</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KJXQYDKBZBXBZ</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该保单是否承保科技型企业贷款业务的标志。填报中文描述：是，否。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知识产权质押类保证保险标志</w:t>
            </w:r>
          </w:p>
        </w:tc>
        <w:tc>
          <w:tcPr>
            <w:tcW w:w="192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ZSCQZYLBZBXBZ</w:t>
            </w:r>
          </w:p>
        </w:tc>
        <w:tc>
          <w:tcPr>
            <w:tcW w:w="7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60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该保单是否承保知识产权质押类业务的标志。填报中文描述：是，否。</w:t>
            </w:r>
          </w:p>
        </w:tc>
      </w:tr>
    </w:tbl>
    <w:p>
      <w:pPr>
        <w:pStyle w:val="44"/>
        <w:spacing w:line="560" w:lineRule="exact"/>
        <w:rPr>
          <w:rFonts w:ascii="Calibri" w:hAnsi="Calibri"/>
          <w:szCs w:val="22"/>
        </w:rPr>
      </w:pPr>
    </w:p>
    <w:p>
      <w:pPr>
        <w:pStyle w:val="6"/>
        <w:numPr>
          <w:ilvl w:val="0"/>
          <w:numId w:val="4"/>
        </w:numPr>
        <w:ind w:firstLine="600"/>
      </w:pPr>
      <w:r>
        <w:rPr>
          <w:rFonts w:hint="eastAsia"/>
        </w:rPr>
        <w:t>保证保险贷款合约信息表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6"/>
        <w:gridCol w:w="1548"/>
        <w:gridCol w:w="817"/>
        <w:gridCol w:w="697"/>
        <w:gridCol w:w="697"/>
        <w:gridCol w:w="3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3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54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2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BZBXDKHYXXB</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保证保险贷款合约信息表</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1602</w:t>
            </w:r>
          </w:p>
        </w:tc>
        <w:tc>
          <w:tcPr>
            <w:tcW w:w="442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本表报送保证保险贷款合约相关信息。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3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54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9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9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3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贷款合约编号</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DKHYBH</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保证保险标的贷款的贷款合约编号。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贷款机构名称</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DKJGMC</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贷款机构的中文名称。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贷款机构地址详细信息</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DKJGDZXXXX</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贷款机构地址中除省、市、区县以外的详细地址信息，注明街道名称和门牌号码。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贷款机构证件类型</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DKJGZJLX</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贷款机构的证件类型，优先填报统一社会信用代码，对应《业务代码表》中的“机构证件类型”，填报中文描述。例如：统一社会信用代码、组织机构代码证等。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贷款机构证件号码</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DKJGZJHM</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贷款机构的证件号码。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贷款机构金融许可证编号</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DKJGJRXKZBH</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贷款机构的金融许可证上的金融机构编码。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贷款期限</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DKQX</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贷款人将贷款贷给借款人后到贷款收回时这一段时间的期限，单位为天。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贷款期限起始日期</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DKQXQSRQ</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保证保险标的贷款的期限起始日期。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贷款期限终止日期</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DKQXZZRQ</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保证保险标的贷款的期限结束日期。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贷款种类</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DKZL</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015006</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按贷款信用程度划分的贷款种类，填报中文描述。包括：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信用贷款</w:t>
            </w:r>
            <w:r>
              <w:rPr>
                <w:rFonts w:hint="eastAsia" w:ascii="宋体" w:hAnsi="宋体" w:cs="宋体"/>
                <w:color w:val="000000"/>
                <w:kern w:val="0"/>
                <w:szCs w:val="21"/>
              </w:rPr>
              <w:br w:type="textWrapping"/>
            </w:r>
            <w:r>
              <w:rPr>
                <w:rFonts w:hint="eastAsia" w:ascii="宋体" w:hAnsi="宋体" w:cs="宋体"/>
                <w:color w:val="000000"/>
                <w:kern w:val="0"/>
                <w:szCs w:val="21"/>
              </w:rPr>
              <w:t>担保贷款</w:t>
            </w:r>
            <w:r>
              <w:rPr>
                <w:rFonts w:hint="eastAsia" w:ascii="宋体" w:hAnsi="宋体" w:cs="宋体"/>
                <w:color w:val="000000"/>
                <w:kern w:val="0"/>
                <w:szCs w:val="21"/>
              </w:rPr>
              <w:br w:type="textWrapping"/>
            </w:r>
            <w:r>
              <w:rPr>
                <w:rFonts w:hint="eastAsia" w:ascii="宋体" w:hAnsi="宋体" w:cs="宋体"/>
                <w:color w:val="000000"/>
                <w:kern w:val="0"/>
                <w:szCs w:val="21"/>
              </w:rPr>
              <w:t>票据贴现</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借款人性质</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JKRXZ</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016004</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保证保险标的贷款的借款人性质，填报中文描述。包括：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个人</w:t>
            </w:r>
            <w:r>
              <w:rPr>
                <w:rFonts w:hint="eastAsia" w:ascii="宋体" w:hAnsi="宋体" w:cs="宋体"/>
                <w:color w:val="000000"/>
                <w:kern w:val="0"/>
                <w:szCs w:val="21"/>
              </w:rPr>
              <w:br w:type="textWrapping"/>
            </w:r>
            <w:r>
              <w:rPr>
                <w:rFonts w:hint="eastAsia" w:ascii="宋体" w:hAnsi="宋体" w:cs="宋体"/>
                <w:color w:val="000000"/>
                <w:kern w:val="0"/>
                <w:szCs w:val="21"/>
              </w:rPr>
              <w:t>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贷款用途</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DKYT</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保证保险标的贷款的贷款用途。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保证保险标的贷款金额类信息所对应的货币，对应《业务代码表》中的“币种”，填报字母。例如：CNY、EUR、JRY等。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贷款金额</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DKJE</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保证保险标的贷款合同下约定的贷款本金。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贷款期数</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DKQS</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保证保险标的贷款合同下约定的贷款期数，单位为天。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贷款利率</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DKLL</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保证保险标的贷款的利率，对浮动贷款利率的贷款合约，填报首年贷款利率。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基准利率</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JZLL</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保证保险保单生效时所使用的央行发布的给商业银行的贷款指导性利率。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还款方式</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HKFS</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015008</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保证保险标的贷款的还款方式，对应《业务代码表》中的“还款方式”，填报中文描述。例如：等额本金还款法、等额本息还款法等。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还款账户类型</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HKZHLX</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015007</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贷款的还款账户的类型，填报中文描述。包括：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个人结算账户</w:t>
            </w:r>
            <w:r>
              <w:rPr>
                <w:rFonts w:hint="eastAsia" w:ascii="宋体" w:hAnsi="宋体" w:cs="宋体"/>
                <w:color w:val="000000"/>
                <w:kern w:val="0"/>
                <w:szCs w:val="21"/>
              </w:rPr>
              <w:br w:type="textWrapping"/>
            </w:r>
            <w:r>
              <w:rPr>
                <w:rFonts w:hint="eastAsia" w:ascii="宋体" w:hAnsi="宋体" w:cs="宋体"/>
                <w:color w:val="000000"/>
                <w:kern w:val="0"/>
                <w:szCs w:val="21"/>
              </w:rPr>
              <w:t>储蓄账户</w:t>
            </w:r>
            <w:r>
              <w:rPr>
                <w:rFonts w:hint="eastAsia" w:ascii="宋体" w:hAnsi="宋体" w:cs="宋体"/>
                <w:color w:val="000000"/>
                <w:kern w:val="0"/>
                <w:szCs w:val="21"/>
              </w:rPr>
              <w:br w:type="textWrapping"/>
            </w:r>
            <w:r>
              <w:rPr>
                <w:rFonts w:hint="eastAsia" w:ascii="宋体" w:hAnsi="宋体" w:cs="宋体"/>
                <w:color w:val="000000"/>
                <w:kern w:val="0"/>
                <w:szCs w:val="21"/>
              </w:rPr>
              <w:t>个人支票账户</w:t>
            </w:r>
            <w:r>
              <w:rPr>
                <w:rFonts w:hint="eastAsia" w:ascii="宋体" w:hAnsi="宋体" w:cs="宋体"/>
                <w:color w:val="000000"/>
                <w:kern w:val="0"/>
                <w:szCs w:val="21"/>
              </w:rPr>
              <w:br w:type="textWrapping"/>
            </w:r>
            <w:r>
              <w:rPr>
                <w:rFonts w:hint="eastAsia" w:ascii="宋体" w:hAnsi="宋体" w:cs="宋体"/>
                <w:color w:val="000000"/>
                <w:kern w:val="0"/>
                <w:szCs w:val="21"/>
              </w:rPr>
              <w:t>信用卡账户</w:t>
            </w:r>
            <w:r>
              <w:rPr>
                <w:rFonts w:hint="eastAsia" w:ascii="宋体" w:hAnsi="宋体" w:cs="宋体"/>
                <w:color w:val="000000"/>
                <w:kern w:val="0"/>
                <w:szCs w:val="21"/>
              </w:rPr>
              <w:br w:type="textWrapping"/>
            </w:r>
            <w:r>
              <w:rPr>
                <w:rFonts w:hint="eastAsia" w:ascii="宋体" w:hAnsi="宋体" w:cs="宋体"/>
                <w:color w:val="000000"/>
                <w:kern w:val="0"/>
                <w:szCs w:val="21"/>
              </w:rPr>
              <w:t>第三方平台账户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还款账户开户行名称</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HKZHKHHMC</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保证保险标的贷款的还款账户开户银行的名称。还款账户类型代码为个人结算账户、储蓄账户、个人支票账户或信用卡账户时必填。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还款账户号码</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HKZHHM</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保证保险标的贷款的还款账户的号码。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赔款等待期</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PKDDQ</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银行报案后向银行支付赔款的最长期限。单位为天。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85" w:hRule="atLeast"/>
        </w:trPr>
        <w:tc>
          <w:tcPr>
            <w:tcW w:w="16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主要担保方式</w:t>
            </w:r>
          </w:p>
        </w:tc>
        <w:tc>
          <w:tcPr>
            <w:tcW w:w="154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ZYDBFS</w:t>
            </w:r>
          </w:p>
        </w:tc>
        <w:tc>
          <w:tcPr>
            <w:tcW w:w="8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016003</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3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在经济活动中，债权人保障其债权实现的主要方式，填报中文描述。包括：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质押（含保证金）</w:t>
            </w:r>
            <w:r>
              <w:rPr>
                <w:rFonts w:hint="eastAsia" w:ascii="宋体" w:hAnsi="宋体" w:cs="宋体"/>
                <w:color w:val="000000"/>
                <w:kern w:val="0"/>
                <w:szCs w:val="21"/>
              </w:rPr>
              <w:br w:type="textWrapping"/>
            </w:r>
            <w:r>
              <w:rPr>
                <w:rFonts w:hint="eastAsia" w:ascii="宋体" w:hAnsi="宋体" w:cs="宋体"/>
                <w:color w:val="000000"/>
                <w:kern w:val="0"/>
                <w:szCs w:val="21"/>
              </w:rPr>
              <w:t>抵押</w:t>
            </w:r>
            <w:r>
              <w:rPr>
                <w:rFonts w:hint="eastAsia" w:ascii="宋体" w:hAnsi="宋体" w:cs="宋体"/>
                <w:color w:val="000000"/>
                <w:kern w:val="0"/>
                <w:szCs w:val="21"/>
              </w:rPr>
              <w:br w:type="textWrapping"/>
            </w:r>
            <w:r>
              <w:rPr>
                <w:rFonts w:hint="eastAsia" w:ascii="宋体" w:hAnsi="宋体" w:cs="宋体"/>
                <w:color w:val="000000"/>
                <w:kern w:val="0"/>
                <w:szCs w:val="21"/>
              </w:rPr>
              <w:t>保证</w:t>
            </w:r>
            <w:r>
              <w:rPr>
                <w:rFonts w:hint="eastAsia" w:ascii="宋体" w:hAnsi="宋体" w:cs="宋体"/>
                <w:color w:val="000000"/>
                <w:kern w:val="0"/>
                <w:szCs w:val="21"/>
              </w:rPr>
              <w:br w:type="textWrapping"/>
            </w:r>
            <w:r>
              <w:rPr>
                <w:rFonts w:hint="eastAsia" w:ascii="宋体" w:hAnsi="宋体" w:cs="宋体"/>
                <w:color w:val="000000"/>
                <w:kern w:val="0"/>
                <w:szCs w:val="21"/>
              </w:rPr>
              <w:t>信用</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bl>
    <w:p>
      <w:pPr>
        <w:pStyle w:val="44"/>
        <w:spacing w:line="560" w:lineRule="exact"/>
        <w:rPr>
          <w:rFonts w:ascii="Calibri" w:hAnsi="Calibri"/>
          <w:szCs w:val="22"/>
        </w:rPr>
      </w:pPr>
    </w:p>
    <w:p>
      <w:pPr>
        <w:pStyle w:val="6"/>
        <w:numPr>
          <w:ilvl w:val="0"/>
          <w:numId w:val="4"/>
        </w:numPr>
        <w:ind w:firstLine="600"/>
      </w:pPr>
      <w:r>
        <w:rPr>
          <w:rFonts w:hint="eastAsia"/>
        </w:rPr>
        <w:t>保证保险租赁合约信息表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4"/>
        <w:gridCol w:w="1419"/>
        <w:gridCol w:w="835"/>
        <w:gridCol w:w="711"/>
        <w:gridCol w:w="711"/>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3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3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41"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BZBXZLHYXXB</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保证保险租赁合约信息表</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1603</w:t>
            </w:r>
          </w:p>
        </w:tc>
        <w:tc>
          <w:tcPr>
            <w:tcW w:w="4541"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本表报送保证保险租赁合约相关信息。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3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3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租赁合约编号</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ZLHYBH</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保证保险中租赁合同的合约编号。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租赁物名称</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ZLWMC</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保证保险中租赁合同中租赁物名称。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租金期数</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ZJQS</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保证保险中租赁合同中约定的租金支付期数，单位为天。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租金总额</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ZJZE</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保证保险中租赁合同中约定的租金的总金额。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租赁合同租金起始日期</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ZLHTZJQSRQ</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保证保险中租赁合同中租金开始的日期。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3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租赁合同租金终止日期</w:t>
            </w:r>
          </w:p>
        </w:tc>
        <w:tc>
          <w:tcPr>
            <w:tcW w:w="141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ZLHTZJZZRQ</w:t>
            </w:r>
          </w:p>
        </w:tc>
        <w:tc>
          <w:tcPr>
            <w:tcW w:w="8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保证保险中租赁合同中租金结束的日期。</w:t>
            </w:r>
          </w:p>
        </w:tc>
      </w:tr>
    </w:tbl>
    <w:p>
      <w:pPr>
        <w:pStyle w:val="44"/>
        <w:spacing w:line="560" w:lineRule="exact"/>
        <w:rPr>
          <w:rFonts w:ascii="Calibri" w:hAnsi="Calibri"/>
          <w:szCs w:val="22"/>
        </w:rPr>
      </w:pPr>
    </w:p>
    <w:p>
      <w:pPr>
        <w:pStyle w:val="6"/>
        <w:numPr>
          <w:ilvl w:val="0"/>
          <w:numId w:val="4"/>
        </w:numPr>
        <w:ind w:firstLine="600"/>
      </w:pPr>
      <w:r>
        <w:rPr>
          <w:rFonts w:hint="eastAsia"/>
        </w:rPr>
        <w:t>保证保险理财产品协议信息表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2"/>
        <w:gridCol w:w="1655"/>
        <w:gridCol w:w="794"/>
        <w:gridCol w:w="670"/>
        <w:gridCol w:w="670"/>
        <w:gridCol w:w="2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6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65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79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21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BZBXLCCPXYXXB</w:t>
            </w:r>
          </w:p>
        </w:tc>
        <w:tc>
          <w:tcPr>
            <w:tcW w:w="16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保证保险理财产品协议信息表</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1604</w:t>
            </w:r>
          </w:p>
        </w:tc>
        <w:tc>
          <w:tcPr>
            <w:tcW w:w="421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本表报送保证保险理财产品协议相关信息。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6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65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79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7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7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7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6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6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6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6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6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6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理财产品认购协议编号</w:t>
            </w:r>
          </w:p>
        </w:tc>
        <w:tc>
          <w:tcPr>
            <w:tcW w:w="16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LCCPRGXYBH</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保证保险的理财产品认购协议编号。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理财产品名称</w:t>
            </w:r>
          </w:p>
        </w:tc>
        <w:tc>
          <w:tcPr>
            <w:tcW w:w="16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LCCPMC</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保证保险中理财产品的产品名称。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合同履约金额</w:t>
            </w:r>
          </w:p>
        </w:tc>
        <w:tc>
          <w:tcPr>
            <w:tcW w:w="16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HTLYJE</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保证保险中承保范围内的理财产品合同金额。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理财产品认购协议起始日期</w:t>
            </w:r>
          </w:p>
        </w:tc>
        <w:tc>
          <w:tcPr>
            <w:tcW w:w="16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LCCPRGXYQSRQ</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保证保险中理财产品认购协议的开始日期。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理财产品认购协议终止日期</w:t>
            </w:r>
          </w:p>
        </w:tc>
        <w:tc>
          <w:tcPr>
            <w:tcW w:w="16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LCCPRGXYZZRQ</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保证保险中理财产品认购协议的结束日期。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理财产品利率</w:t>
            </w:r>
          </w:p>
        </w:tc>
        <w:tc>
          <w:tcPr>
            <w:tcW w:w="16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LCCPLL</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保证保险中理财产品的产品利率。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6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理财产品起购金额</w:t>
            </w:r>
          </w:p>
        </w:tc>
        <w:tc>
          <w:tcPr>
            <w:tcW w:w="165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LCCPQGJE</w:t>
            </w:r>
          </w:p>
        </w:tc>
        <w:tc>
          <w:tcPr>
            <w:tcW w:w="7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保证保险中理财产品购买的最低金额。</w:t>
            </w:r>
          </w:p>
        </w:tc>
      </w:tr>
    </w:tbl>
    <w:p>
      <w:pPr>
        <w:pStyle w:val="44"/>
        <w:spacing w:line="560" w:lineRule="exact"/>
        <w:rPr>
          <w:rFonts w:ascii="Calibri" w:hAnsi="Calibri"/>
          <w:szCs w:val="22"/>
        </w:rPr>
      </w:pPr>
    </w:p>
    <w:p>
      <w:pPr>
        <w:pStyle w:val="6"/>
        <w:numPr>
          <w:ilvl w:val="0"/>
          <w:numId w:val="4"/>
        </w:numPr>
        <w:ind w:firstLine="600"/>
      </w:pPr>
      <w:r>
        <w:rPr>
          <w:rFonts w:hint="eastAsia"/>
        </w:rPr>
        <w:t>保证保险商业合同信息表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1421"/>
        <w:gridCol w:w="836"/>
        <w:gridCol w:w="712"/>
        <w:gridCol w:w="712"/>
        <w:gridCol w:w="3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2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2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3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47"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BZBXSYHTXXB</w:t>
            </w:r>
          </w:p>
        </w:tc>
        <w:tc>
          <w:tcPr>
            <w:tcW w:w="14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保证保险商业合同信息表</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1605</w:t>
            </w:r>
          </w:p>
        </w:tc>
        <w:tc>
          <w:tcPr>
            <w:tcW w:w="4547"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本表报送保证保险商业合同相关信息。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2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2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3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2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商业合同编号</w:t>
            </w:r>
          </w:p>
        </w:tc>
        <w:tc>
          <w:tcPr>
            <w:tcW w:w="14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SYHTBH</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保证保险的商业合同的合同编号。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商业合同名称</w:t>
            </w:r>
          </w:p>
        </w:tc>
        <w:tc>
          <w:tcPr>
            <w:tcW w:w="14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SYHTMC</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保证保险的商业合同名称。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合同履约金额</w:t>
            </w:r>
          </w:p>
        </w:tc>
        <w:tc>
          <w:tcPr>
            <w:tcW w:w="14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HTLYJE</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保证保险中，保单承保的履约合同金额。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商业合同起始日期</w:t>
            </w:r>
          </w:p>
        </w:tc>
        <w:tc>
          <w:tcPr>
            <w:tcW w:w="14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SYHTQSRQ</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保证保险中商业合同生效的起始日期。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2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商业合同终止日期</w:t>
            </w:r>
          </w:p>
        </w:tc>
        <w:tc>
          <w:tcPr>
            <w:tcW w:w="14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SYHTZZRQ</w:t>
            </w:r>
          </w:p>
        </w:tc>
        <w:tc>
          <w:tcPr>
            <w:tcW w:w="83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保证保险中商业合同的终止日期。</w:t>
            </w:r>
          </w:p>
        </w:tc>
      </w:tr>
    </w:tbl>
    <w:p>
      <w:pPr>
        <w:pStyle w:val="44"/>
        <w:spacing w:line="560" w:lineRule="exact"/>
        <w:rPr>
          <w:rFonts w:ascii="Calibri" w:hAnsi="Calibri"/>
          <w:szCs w:val="22"/>
        </w:rPr>
      </w:pPr>
    </w:p>
    <w:p>
      <w:pPr>
        <w:pStyle w:val="6"/>
        <w:numPr>
          <w:ilvl w:val="0"/>
          <w:numId w:val="4"/>
        </w:numPr>
        <w:ind w:firstLine="600"/>
      </w:pPr>
      <w:r>
        <w:rPr>
          <w:rFonts w:hint="eastAsia"/>
        </w:rPr>
        <w:t>保证保险预付卡信息表</w:t>
      </w:r>
    </w:p>
    <w:tbl>
      <w:tblPr>
        <w:tblStyle w:val="28"/>
        <w:tblW w:w="842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3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BZBXYFKXXB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保证保险预付卡信息表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1606</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本表报送保证保险预付卡相关信息。仅单用途商业预付卡保证保险需报送该表。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3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预收资金余额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YSZJYE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投保时，发卡企业预收资金余额。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预付卡币种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YFKBZ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预付卡的币种，对应《业务代码表》中的“币种”，填报字母。例如：CNY、EUR、JRY等。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承保比例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CBBL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单用途商业预付卡投保金额占预付卡总金额的比例。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3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发卡企业名称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FKQYMC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预付卡的发卡机构的名称。</w:t>
            </w:r>
          </w:p>
        </w:tc>
      </w:tr>
    </w:tbl>
    <w:p>
      <w:pPr>
        <w:pStyle w:val="44"/>
        <w:spacing w:line="560" w:lineRule="exact"/>
        <w:rPr>
          <w:rFonts w:ascii="Calibri" w:hAnsi="Calibri"/>
          <w:szCs w:val="22"/>
        </w:rPr>
      </w:pPr>
    </w:p>
    <w:p>
      <w:pPr>
        <w:pStyle w:val="6"/>
        <w:numPr>
          <w:ilvl w:val="0"/>
          <w:numId w:val="4"/>
        </w:numPr>
        <w:ind w:firstLine="600"/>
      </w:pPr>
      <w:r>
        <w:rPr>
          <w:rFonts w:hint="eastAsia"/>
        </w:rPr>
        <w:t>保证保险工程项目投标信息表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gridCol w:w="1370"/>
        <w:gridCol w:w="815"/>
        <w:gridCol w:w="691"/>
        <w:gridCol w:w="691"/>
        <w:gridCol w:w="2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86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7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381"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BZBXGCXMTBXXB</w:t>
            </w:r>
          </w:p>
        </w:tc>
        <w:tc>
          <w:tcPr>
            <w:tcW w:w="13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保证保险工程项目投标信息表</w:t>
            </w:r>
          </w:p>
        </w:tc>
        <w:tc>
          <w:tcPr>
            <w:tcW w:w="8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1607</w:t>
            </w:r>
          </w:p>
        </w:tc>
        <w:tc>
          <w:tcPr>
            <w:tcW w:w="4381"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本表报送保证保险工程项目投标相关信息。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86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7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99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立项文件号</w:t>
            </w:r>
          </w:p>
        </w:tc>
        <w:tc>
          <w:tcPr>
            <w:tcW w:w="13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LXWJH</w:t>
            </w:r>
          </w:p>
        </w:tc>
        <w:tc>
          <w:tcPr>
            <w:tcW w:w="8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9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保证保险标的投标工程项目的招标立项文件编号。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工程项目名称</w:t>
            </w:r>
          </w:p>
        </w:tc>
        <w:tc>
          <w:tcPr>
            <w:tcW w:w="13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GCXMMC</w:t>
            </w:r>
          </w:p>
        </w:tc>
        <w:tc>
          <w:tcPr>
            <w:tcW w:w="8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保证保险标的工程项目的名称。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项目预计造价</w:t>
            </w:r>
          </w:p>
        </w:tc>
        <w:tc>
          <w:tcPr>
            <w:tcW w:w="13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XMYJZJ</w:t>
            </w:r>
          </w:p>
        </w:tc>
        <w:tc>
          <w:tcPr>
            <w:tcW w:w="8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9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保证保险标的投标工程项目预计造价总金额。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招标文件编号</w:t>
            </w:r>
          </w:p>
        </w:tc>
        <w:tc>
          <w:tcPr>
            <w:tcW w:w="13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ZBWJBH</w:t>
            </w:r>
          </w:p>
        </w:tc>
        <w:tc>
          <w:tcPr>
            <w:tcW w:w="8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9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保证保险标的投标工程项目的招标项目文件的编号。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招标起始日期</w:t>
            </w:r>
          </w:p>
        </w:tc>
        <w:tc>
          <w:tcPr>
            <w:tcW w:w="13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ZBQSRQ</w:t>
            </w:r>
          </w:p>
        </w:tc>
        <w:tc>
          <w:tcPr>
            <w:tcW w:w="8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9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保证保险标的投标工程项目的招标起始日期。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招标期限</w:t>
            </w:r>
          </w:p>
        </w:tc>
        <w:tc>
          <w:tcPr>
            <w:tcW w:w="13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ZBQX</w:t>
            </w:r>
          </w:p>
        </w:tc>
        <w:tc>
          <w:tcPr>
            <w:tcW w:w="8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9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保证保险标的投标工程项目的招标期限，单位为天。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6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投标日期</w:t>
            </w:r>
          </w:p>
        </w:tc>
        <w:tc>
          <w:tcPr>
            <w:tcW w:w="13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TBRQ</w:t>
            </w:r>
          </w:p>
        </w:tc>
        <w:tc>
          <w:tcPr>
            <w:tcW w:w="8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99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保证保险标的投标工程项目的投标日期。</w:t>
            </w:r>
          </w:p>
        </w:tc>
      </w:tr>
    </w:tbl>
    <w:p>
      <w:pPr>
        <w:pStyle w:val="44"/>
        <w:spacing w:line="560" w:lineRule="exact"/>
        <w:rPr>
          <w:rFonts w:ascii="Calibri" w:hAnsi="Calibri"/>
          <w:szCs w:val="22"/>
        </w:rPr>
      </w:pPr>
    </w:p>
    <w:p>
      <w:pPr>
        <w:pStyle w:val="6"/>
        <w:numPr>
          <w:ilvl w:val="0"/>
          <w:numId w:val="4"/>
        </w:numPr>
        <w:ind w:firstLine="600"/>
      </w:pPr>
      <w:r>
        <w:rPr>
          <w:rFonts w:hint="eastAsia"/>
        </w:rPr>
        <w:t>保证保险雇员岗位分组信息表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0"/>
        <w:gridCol w:w="1366"/>
        <w:gridCol w:w="813"/>
        <w:gridCol w:w="690"/>
        <w:gridCol w:w="690"/>
        <w:gridCol w:w="2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88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6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370"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BZBXGYGWFZXXB</w:t>
            </w:r>
          </w:p>
        </w:tc>
        <w:tc>
          <w:tcPr>
            <w:tcW w:w="13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保证保险雇员岗位分组信息表</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1608</w:t>
            </w:r>
          </w:p>
        </w:tc>
        <w:tc>
          <w:tcPr>
            <w:tcW w:w="4370"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本表报送保证保险雇员岗位分组相关信息。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88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6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9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8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8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3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3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雇员分组序号</w:t>
            </w:r>
          </w:p>
        </w:tc>
        <w:tc>
          <w:tcPr>
            <w:tcW w:w="13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GYFZXH</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雇员分组的序号。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雇员人数</w:t>
            </w:r>
          </w:p>
        </w:tc>
        <w:tc>
          <w:tcPr>
            <w:tcW w:w="13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GYRS</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保单上载明的雇员人数，指最近可获得的员工总人数。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88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雇员岗位名称</w:t>
            </w:r>
          </w:p>
        </w:tc>
        <w:tc>
          <w:tcPr>
            <w:tcW w:w="136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GYGWMC</w:t>
            </w:r>
          </w:p>
        </w:tc>
        <w:tc>
          <w:tcPr>
            <w:tcW w:w="8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9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保单上载明的员工岗位。</w:t>
            </w:r>
          </w:p>
        </w:tc>
      </w:tr>
    </w:tbl>
    <w:p>
      <w:pPr>
        <w:pStyle w:val="44"/>
        <w:spacing w:line="560" w:lineRule="exact"/>
        <w:rPr>
          <w:szCs w:val="22"/>
        </w:rPr>
      </w:pPr>
    </w:p>
    <w:p>
      <w:pPr>
        <w:pStyle w:val="4"/>
      </w:pPr>
      <w:bookmarkStart w:id="69" w:name="_Toc14471"/>
      <w:bookmarkStart w:id="70" w:name="_Toc1690976738"/>
      <w:r>
        <w:rPr>
          <w:rFonts w:hint="eastAsia"/>
        </w:rPr>
        <w:t>货运险专项信息</w:t>
      </w:r>
      <w:bookmarkEnd w:id="69"/>
      <w:bookmarkEnd w:id="70"/>
    </w:p>
    <w:p>
      <w:pPr>
        <w:pStyle w:val="51"/>
        <w:numPr>
          <w:ilvl w:val="0"/>
          <w:numId w:val="22"/>
        </w:numPr>
        <w:rPr>
          <w:szCs w:val="22"/>
        </w:rPr>
      </w:pPr>
      <w:r>
        <w:rPr>
          <w:rFonts w:hint="eastAsia"/>
          <w:szCs w:val="22"/>
        </w:rPr>
        <w:t>货运险赔案扩展信息表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9"/>
        <w:gridCol w:w="1435"/>
        <w:gridCol w:w="843"/>
        <w:gridCol w:w="718"/>
        <w:gridCol w:w="718"/>
        <w:gridCol w:w="3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5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3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92"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HYXPAKZXXB</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货运险赔案扩展信息表</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1701</w:t>
            </w:r>
          </w:p>
        </w:tc>
        <w:tc>
          <w:tcPr>
            <w:tcW w:w="4592"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本表报送货运险赔案相关扩展信息，包括发生赔案的货物信息、运输工具信息等。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5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3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5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发票号</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FPH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货运险标的货物的发票上的编号，进出口货运险、国内货运险不可为空。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发票金额</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FPJE</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货运险标的货物的发票上标注的金额，进出口货运险、国内货运险不可为空。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信用证号</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XYZH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对于货运险标的货物的交易中有信用证的存在的情况下，印制在信用证上的编号。适用于进出口业务。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运单号</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YDH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指承运人签发的确认对被保险人进行货物运输的单证上的编号。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提单号</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TDH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证明货物运输合同和货物已经由承运人接收或者装载，以及具有物权凭证的单证的编号。适用于进出口业务。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保险加成率</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BXJCL</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001007</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又称加成比例，是指为了保障被保险人的利润和已支付费用，在发票金额的基础上对保险金额的补偿比率。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运输方式</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YSFS</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017002</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货运险标的货物使用的运输方式的名称，对应《业务代码表》中的“运输方式”，填报中文描述。例如：江海运输。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运输工具名称</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YSGJMC</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货运险保险合同上载明的运输工具中文名称，进出口货运险、国内货运险不可为空。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转运工具名称</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ZYGJMC</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货运险保险合同上载明的转运工具的中文名称。运输方式为多式联运时，该字段记录。如航班号、车牌号、船名、火车车次。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货物运输起始地</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HWYSQSD</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在货物运输保险合同中载明的货物起运地点或港口、码头的名称，地点到市级粒度，进出口货运险、国内货运险不可为空。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货物运输中转地</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HWYSZZD</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在货物运输险保险合同中载明的货物中途转运的地点，或港口、码头的名称，地点到市级粒度。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货物运输目的地</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HWYSMDD</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在货物运输保险合同中载明的货物到达目的地的地点，或港口、码头的名称，地点到市级粒度，进出口货运险、国内货运险不可为空。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赔款偿付地</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PKCFD</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保险人支付赔款的偿付地。适用于进出口业务。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起运日期</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QYRQ</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指货运险标的货物运离保险单所载明的起运地仓库或储存处所时的日期，进出口货运险、国内货运险不可为空。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理赔代理人名称</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LPDLRMC</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代替保险人从事查勘赔款处理的组织机构的名称。适用于进出口业务。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车牌号</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010005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指负责运输标的货物的车辆的车牌号。运输方式为公路运输或多式联运时，该字段记录。隐私，财产保险公司变形。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车次</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CC</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017009</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负责运输标的货物的列车的车次。运输方式为铁路运输或多式联运时，该字段记录。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航班号</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HBH</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020004</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负责运输标的货物的飞机的航班号。运输方式为航空运输或多式联运时，该字段记录。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货物名称</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HWMC</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货运险标的货物的中文名称。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货物类别</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HWLB</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017004</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货运险标的货物的货物类别，例如：煤炭及矿石、石油及制品、钢铁及有色金属等。对应《业务代码表》中的“商品类别”，填报中文描述。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55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包装方式</w:t>
            </w:r>
          </w:p>
        </w:tc>
        <w:tc>
          <w:tcPr>
            <w:tcW w:w="143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BZFS</w:t>
            </w:r>
          </w:p>
        </w:tc>
        <w:tc>
          <w:tcPr>
            <w:tcW w:w="8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017005</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5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又称包装类型，是货运险标的货物的包装方式，填报中文描述。包括：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散装</w:t>
            </w:r>
            <w:r>
              <w:rPr>
                <w:rFonts w:hint="eastAsia" w:ascii="宋体" w:hAnsi="宋体" w:cs="宋体"/>
                <w:color w:val="000000"/>
                <w:kern w:val="0"/>
                <w:szCs w:val="21"/>
              </w:rPr>
              <w:br w:type="textWrapping"/>
            </w:r>
            <w:r>
              <w:rPr>
                <w:rFonts w:hint="eastAsia" w:ascii="宋体" w:hAnsi="宋体" w:cs="宋体"/>
                <w:color w:val="000000"/>
                <w:kern w:val="0"/>
                <w:szCs w:val="21"/>
              </w:rPr>
              <w:t>无包装散件</w:t>
            </w:r>
            <w:r>
              <w:rPr>
                <w:rFonts w:hint="eastAsia" w:ascii="宋体" w:hAnsi="宋体" w:cs="宋体"/>
                <w:color w:val="000000"/>
                <w:kern w:val="0"/>
                <w:szCs w:val="21"/>
              </w:rPr>
              <w:br w:type="textWrapping"/>
            </w:r>
            <w:r>
              <w:rPr>
                <w:rFonts w:hint="eastAsia" w:ascii="宋体" w:hAnsi="宋体" w:cs="宋体"/>
                <w:color w:val="000000"/>
                <w:kern w:val="0"/>
                <w:szCs w:val="21"/>
              </w:rPr>
              <w:t>盒型硬质</w:t>
            </w:r>
            <w:r>
              <w:rPr>
                <w:rFonts w:hint="eastAsia" w:ascii="宋体" w:hAnsi="宋体" w:cs="宋体"/>
                <w:color w:val="000000"/>
                <w:kern w:val="0"/>
                <w:szCs w:val="21"/>
              </w:rPr>
              <w:br w:type="textWrapping"/>
            </w:r>
            <w:r>
              <w:rPr>
                <w:rFonts w:hint="eastAsia" w:ascii="宋体" w:hAnsi="宋体" w:cs="宋体"/>
                <w:color w:val="000000"/>
                <w:kern w:val="0"/>
                <w:szCs w:val="21"/>
              </w:rPr>
              <w:t>圆筒形硬质</w:t>
            </w:r>
            <w:r>
              <w:rPr>
                <w:rFonts w:hint="eastAsia" w:ascii="宋体" w:hAnsi="宋体" w:cs="宋体"/>
                <w:color w:val="000000"/>
                <w:kern w:val="0"/>
                <w:szCs w:val="21"/>
              </w:rPr>
              <w:br w:type="textWrapping"/>
            </w:r>
            <w:r>
              <w:rPr>
                <w:rFonts w:hint="eastAsia" w:ascii="宋体" w:hAnsi="宋体" w:cs="宋体"/>
                <w:color w:val="000000"/>
                <w:kern w:val="0"/>
                <w:szCs w:val="21"/>
              </w:rPr>
              <w:t>球状硬质</w:t>
            </w:r>
            <w:r>
              <w:rPr>
                <w:rFonts w:hint="eastAsia" w:ascii="宋体" w:hAnsi="宋体" w:cs="宋体"/>
                <w:color w:val="000000"/>
                <w:kern w:val="0"/>
                <w:szCs w:val="21"/>
              </w:rPr>
              <w:br w:type="textWrapping"/>
            </w:r>
            <w:r>
              <w:rPr>
                <w:rFonts w:hint="eastAsia" w:ascii="宋体" w:hAnsi="宋体" w:cs="宋体"/>
                <w:color w:val="000000"/>
                <w:kern w:val="0"/>
                <w:szCs w:val="21"/>
              </w:rPr>
              <w:t>其他硬质</w:t>
            </w:r>
            <w:r>
              <w:rPr>
                <w:rFonts w:hint="eastAsia" w:ascii="宋体" w:hAnsi="宋体" w:cs="宋体"/>
                <w:color w:val="000000"/>
                <w:kern w:val="0"/>
                <w:szCs w:val="21"/>
              </w:rPr>
              <w:br w:type="textWrapping"/>
            </w:r>
            <w:r>
              <w:rPr>
                <w:rFonts w:hint="eastAsia" w:ascii="宋体" w:hAnsi="宋体" w:cs="宋体"/>
                <w:color w:val="000000"/>
                <w:kern w:val="0"/>
                <w:szCs w:val="21"/>
              </w:rPr>
              <w:t>袋型软质</w:t>
            </w:r>
            <w:r>
              <w:rPr>
                <w:rFonts w:hint="eastAsia" w:ascii="宋体" w:hAnsi="宋体" w:cs="宋体"/>
                <w:color w:val="000000"/>
                <w:kern w:val="0"/>
                <w:szCs w:val="21"/>
              </w:rPr>
              <w:br w:type="textWrapping"/>
            </w:r>
            <w:r>
              <w:rPr>
                <w:rFonts w:hint="eastAsia" w:ascii="宋体" w:hAnsi="宋体" w:cs="宋体"/>
                <w:color w:val="000000"/>
                <w:kern w:val="0"/>
                <w:szCs w:val="21"/>
              </w:rPr>
              <w:t>其他或特殊包装</w:t>
            </w:r>
          </w:p>
        </w:tc>
      </w:tr>
    </w:tbl>
    <w:p>
      <w:pPr>
        <w:pStyle w:val="44"/>
        <w:spacing w:line="560" w:lineRule="exact"/>
        <w:rPr>
          <w:szCs w:val="22"/>
        </w:rPr>
      </w:pPr>
    </w:p>
    <w:p>
      <w:pPr>
        <w:pStyle w:val="4"/>
      </w:pPr>
      <w:bookmarkStart w:id="71" w:name="_Toc447451168"/>
      <w:bookmarkStart w:id="72" w:name="_Toc24669"/>
      <w:r>
        <w:rPr>
          <w:rFonts w:hint="eastAsia"/>
        </w:rPr>
        <w:t>船舶险专项信息</w:t>
      </w:r>
      <w:bookmarkEnd w:id="71"/>
      <w:bookmarkEnd w:id="72"/>
    </w:p>
    <w:p>
      <w:pPr>
        <w:pStyle w:val="51"/>
        <w:numPr>
          <w:ilvl w:val="0"/>
          <w:numId w:val="23"/>
        </w:numPr>
      </w:pPr>
      <w:r>
        <w:rPr>
          <w:rFonts w:hint="eastAsia"/>
        </w:rPr>
        <w:t>船舶险标的船舶信息</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CBXBDCBXX</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船舶险标的船舶信息</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1801</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本表报送船舶险保单标的（船舶）的信息，当保单险类是船舶险时报送该表信息。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IMO编号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IMOBH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018002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IMO编号即IMONumber是指国际海事组织的识别码，规定的劳氏船舶登记号（以下简称IMO）的编号。适用于远洋船舶保险。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船舶识别号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CBSBH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018001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指用于永久识别船舶的唯一编码。船舶识别号由英文字母CN和11位阿拉伯数字组成。CN代表中国，11位阿拉伯数字的前四位表示船舶安放龙骨的年份，第5至10位是随机编号，第11位是校验码。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船舶中文名称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CBZWMC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船舶的中文名称。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船舶英文名称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CBYWMC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船舶的英文名称。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船舶抵押标志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CBDYBZ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指船舶是否作抵押。填报中文描述：是，否。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保赔协会成员标志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BPXHCYBZ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指船东是否加入保赔协会。填报中文描述：是，否。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船舶总吨位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CBZDW</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船舶的总吨位，是指按有关吨位规范丈量核定的船舶总容积，单位为吨（t）。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船舶载客数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CBZKS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运输工具允许载客数。应与船舶驶证上登记的核定载人数保持一致，单位为人。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船龄</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018007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船舶建造完毕至今的年限。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船舶悬挂的旗帜所属国家或地区名称，也是对船舶进行注册登记并授予船舶国籍的国家的名称。对应《业务代码表》中的“国别”，填报中文描述。例如：阿富汗等。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船籍港</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CJG</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017008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船舶注册地所在港口。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船舶种类</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CBZL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018003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船舶种类，对应《业务代码表》中的“船舶种类”，填报中文描述。例如：客船、货船等。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船体材料</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CTCL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018005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船体材料，填报中文描述。包括：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钢(铁)质</w:t>
            </w:r>
            <w:r>
              <w:rPr>
                <w:rFonts w:hint="eastAsia" w:ascii="宋体" w:hAnsi="宋体" w:cs="宋体"/>
                <w:color w:val="000000"/>
                <w:kern w:val="0"/>
                <w:szCs w:val="21"/>
              </w:rPr>
              <w:br w:type="textWrapping"/>
            </w:r>
            <w:r>
              <w:rPr>
                <w:rFonts w:hint="eastAsia" w:ascii="宋体" w:hAnsi="宋体" w:cs="宋体"/>
                <w:color w:val="000000"/>
                <w:kern w:val="0"/>
                <w:szCs w:val="21"/>
              </w:rPr>
              <w:t>木质</w:t>
            </w:r>
            <w:r>
              <w:rPr>
                <w:rFonts w:hint="eastAsia" w:ascii="宋体" w:hAnsi="宋体" w:cs="宋体"/>
                <w:color w:val="000000"/>
                <w:kern w:val="0"/>
                <w:szCs w:val="21"/>
              </w:rPr>
              <w:br w:type="textWrapping"/>
            </w:r>
            <w:r>
              <w:rPr>
                <w:rFonts w:hint="eastAsia" w:ascii="宋体" w:hAnsi="宋体" w:cs="宋体"/>
                <w:color w:val="000000"/>
                <w:kern w:val="0"/>
                <w:szCs w:val="21"/>
              </w:rPr>
              <w:t>水泥</w:t>
            </w:r>
            <w:r>
              <w:rPr>
                <w:rFonts w:hint="eastAsia" w:ascii="宋体" w:hAnsi="宋体" w:cs="宋体"/>
                <w:color w:val="000000"/>
                <w:kern w:val="0"/>
                <w:szCs w:val="21"/>
              </w:rPr>
              <w:br w:type="textWrapping"/>
            </w:r>
            <w:r>
              <w:rPr>
                <w:rFonts w:hint="eastAsia" w:ascii="宋体" w:hAnsi="宋体" w:cs="宋体"/>
                <w:color w:val="000000"/>
                <w:kern w:val="0"/>
                <w:szCs w:val="21"/>
              </w:rPr>
              <w:t>铝合金</w:t>
            </w:r>
            <w:r>
              <w:rPr>
                <w:rFonts w:hint="eastAsia" w:ascii="宋体" w:hAnsi="宋体" w:cs="宋体"/>
                <w:color w:val="000000"/>
                <w:kern w:val="0"/>
                <w:szCs w:val="21"/>
              </w:rPr>
              <w:br w:type="textWrapping"/>
            </w:r>
            <w:r>
              <w:rPr>
                <w:rFonts w:hint="eastAsia" w:ascii="宋体" w:hAnsi="宋体" w:cs="宋体"/>
                <w:color w:val="000000"/>
                <w:kern w:val="0"/>
                <w:szCs w:val="21"/>
              </w:rPr>
              <w:t>玻璃钢</w:t>
            </w:r>
            <w:r>
              <w:rPr>
                <w:rFonts w:hint="eastAsia" w:ascii="宋体" w:hAnsi="宋体" w:cs="宋体"/>
                <w:color w:val="000000"/>
                <w:kern w:val="0"/>
                <w:szCs w:val="21"/>
              </w:rPr>
              <w:br w:type="textWrapping"/>
            </w:r>
            <w:r>
              <w:rPr>
                <w:rFonts w:hint="eastAsia" w:ascii="宋体" w:hAnsi="宋体" w:cs="宋体"/>
                <w:color w:val="000000"/>
                <w:kern w:val="0"/>
                <w:szCs w:val="21"/>
              </w:rPr>
              <w:t>玻璃纤维</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航行区域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HXQY</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018006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又称船区，是指船级社、适航证上核定载明的船舶航行最大区域。船舶建造时规范所允许的船舶航行最大的区域，填报中文描述。包括：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遮蔽</w:t>
            </w:r>
            <w:r>
              <w:rPr>
                <w:rFonts w:hint="eastAsia" w:ascii="宋体" w:hAnsi="宋体" w:cs="宋体"/>
                <w:color w:val="000000"/>
                <w:kern w:val="0"/>
                <w:szCs w:val="21"/>
              </w:rPr>
              <w:br w:type="textWrapping"/>
            </w:r>
            <w:r>
              <w:rPr>
                <w:rFonts w:hint="eastAsia" w:ascii="宋体" w:hAnsi="宋体" w:cs="宋体"/>
                <w:color w:val="000000"/>
                <w:kern w:val="0"/>
                <w:szCs w:val="21"/>
              </w:rPr>
              <w:t>内河</w:t>
            </w:r>
            <w:r>
              <w:rPr>
                <w:rFonts w:hint="eastAsia" w:ascii="宋体" w:hAnsi="宋体" w:cs="宋体"/>
                <w:color w:val="000000"/>
                <w:kern w:val="0"/>
                <w:szCs w:val="21"/>
              </w:rPr>
              <w:br w:type="textWrapping"/>
            </w:r>
            <w:r>
              <w:rPr>
                <w:rFonts w:hint="eastAsia" w:ascii="宋体" w:hAnsi="宋体" w:cs="宋体"/>
                <w:color w:val="000000"/>
                <w:kern w:val="0"/>
                <w:szCs w:val="21"/>
              </w:rPr>
              <w:t>沿海</w:t>
            </w:r>
            <w:r>
              <w:rPr>
                <w:rFonts w:hint="eastAsia" w:ascii="宋体" w:hAnsi="宋体" w:cs="宋体"/>
                <w:color w:val="000000"/>
                <w:kern w:val="0"/>
                <w:szCs w:val="21"/>
              </w:rPr>
              <w:br w:type="textWrapping"/>
            </w:r>
            <w:r>
              <w:rPr>
                <w:rFonts w:hint="eastAsia" w:ascii="宋体" w:hAnsi="宋体" w:cs="宋体"/>
                <w:color w:val="000000"/>
                <w:kern w:val="0"/>
                <w:szCs w:val="21"/>
              </w:rPr>
              <w:t>近洋</w:t>
            </w:r>
            <w:r>
              <w:rPr>
                <w:rFonts w:hint="eastAsia" w:ascii="宋体" w:hAnsi="宋体" w:cs="宋体"/>
                <w:color w:val="000000"/>
                <w:kern w:val="0"/>
                <w:szCs w:val="21"/>
              </w:rPr>
              <w:br w:type="textWrapping"/>
            </w:r>
            <w:r>
              <w:rPr>
                <w:rFonts w:hint="eastAsia" w:ascii="宋体" w:hAnsi="宋体" w:cs="宋体"/>
                <w:color w:val="000000"/>
                <w:kern w:val="0"/>
                <w:szCs w:val="21"/>
              </w:rPr>
              <w:t>远洋</w:t>
            </w:r>
            <w:r>
              <w:rPr>
                <w:rFonts w:hint="eastAsia" w:ascii="宋体" w:hAnsi="宋体" w:cs="宋体"/>
                <w:color w:val="000000"/>
                <w:kern w:val="0"/>
                <w:szCs w:val="21"/>
              </w:rPr>
              <w:br w:type="textWrapping"/>
            </w:r>
            <w:r>
              <w:rPr>
                <w:rFonts w:hint="eastAsia" w:ascii="宋体" w:hAnsi="宋体" w:cs="宋体"/>
                <w:color w:val="000000"/>
                <w:kern w:val="0"/>
                <w:szCs w:val="21"/>
              </w:rPr>
              <w:t>无限航区</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船舶经营方式</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CBJYFS</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018004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船舶险标的的船舶经营方式，填报中文描述。包括：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自营</w:t>
            </w:r>
            <w:r>
              <w:rPr>
                <w:rFonts w:hint="eastAsia" w:ascii="宋体" w:hAnsi="宋体" w:cs="宋体"/>
                <w:color w:val="000000"/>
                <w:kern w:val="0"/>
                <w:szCs w:val="21"/>
              </w:rPr>
              <w:br w:type="textWrapping"/>
            </w:r>
            <w:r>
              <w:rPr>
                <w:rFonts w:hint="eastAsia" w:ascii="宋体" w:hAnsi="宋体" w:cs="宋体"/>
                <w:color w:val="000000"/>
                <w:kern w:val="0"/>
                <w:szCs w:val="21"/>
              </w:rPr>
              <w:t>承包</w:t>
            </w:r>
            <w:r>
              <w:rPr>
                <w:rFonts w:hint="eastAsia" w:ascii="宋体" w:hAnsi="宋体" w:cs="宋体"/>
                <w:color w:val="000000"/>
                <w:kern w:val="0"/>
                <w:szCs w:val="21"/>
              </w:rPr>
              <w:br w:type="textWrapping"/>
            </w:r>
            <w:r>
              <w:rPr>
                <w:rFonts w:hint="eastAsia" w:ascii="宋体" w:hAnsi="宋体" w:cs="宋体"/>
                <w:color w:val="000000"/>
                <w:kern w:val="0"/>
                <w:szCs w:val="21"/>
              </w:rPr>
              <w:t>租赁</w:t>
            </w:r>
            <w:r>
              <w:rPr>
                <w:rFonts w:hint="eastAsia" w:ascii="宋体" w:hAnsi="宋体" w:cs="宋体"/>
                <w:color w:val="000000"/>
                <w:kern w:val="0"/>
                <w:szCs w:val="21"/>
              </w:rPr>
              <w:br w:type="textWrapping"/>
            </w:r>
            <w:r>
              <w:rPr>
                <w:rFonts w:hint="eastAsia" w:ascii="宋体" w:hAnsi="宋体" w:cs="宋体"/>
                <w:color w:val="000000"/>
                <w:kern w:val="0"/>
                <w:szCs w:val="21"/>
              </w:rPr>
              <w:t>挂靠</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自航标志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ZHBZ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指船舶是否可以自航。填报中文描述：是，否。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新船合同价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XCHTJ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新船购买时的价格，新船购船合同价。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新船合同价币种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XCHTJBZ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新船购船合同价的原币，对应《业务代码表》中的“币种”，填报字母。例如：CNY、EUR、JRY等。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主机功率</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ZJGL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船舶险标的船舶主机的功率。单位为千瓦（kW）。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建造完成年份</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JZWCNF</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船舶建造完成的年份。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停航开始日期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THKSRQ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保单合同中约定的停航开始日期。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停航结束日期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THJSRQ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保单合同中约定的停航结束日期。</w:t>
            </w:r>
          </w:p>
        </w:tc>
      </w:tr>
    </w:tbl>
    <w:p>
      <w:pPr>
        <w:pStyle w:val="44"/>
        <w:spacing w:line="560" w:lineRule="exact"/>
        <w:rPr>
          <w:rFonts w:ascii="Calibri" w:hAnsi="Calibri"/>
          <w:szCs w:val="22"/>
        </w:rPr>
      </w:pPr>
    </w:p>
    <w:p>
      <w:pPr>
        <w:pStyle w:val="6"/>
        <w:numPr>
          <w:ilvl w:val="0"/>
          <w:numId w:val="4"/>
        </w:numPr>
        <w:ind w:firstLine="600"/>
      </w:pPr>
      <w:r>
        <w:rPr>
          <w:rFonts w:hint="eastAsia"/>
        </w:rPr>
        <w:t>船舶险标的建造信息</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CBXBDJZXX</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船舶险标的建造信息</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1802</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本表报送船舶险保单标的（船舶）的建造信息，当保单险类是船舶建造类险时报送该表信息。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建造合同号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JZHTH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船舶建造标的的造船合同的编号。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船舶总吨位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CBZDW</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船舶的总吨位，是指按有关吨位规范丈量核定的船舶总容积，单位为吨（t）。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船舶种类</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CBZL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018003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船舶种类，对应《业务代码表》中的“船舶种类”，填报中文描述。例如：客船、货船等。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4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船体材料</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CTCL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018005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船体材料，填报中文描述。包括：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钢(铁)质</w:t>
            </w:r>
            <w:r>
              <w:rPr>
                <w:rFonts w:hint="eastAsia" w:ascii="宋体" w:hAnsi="宋体" w:cs="宋体"/>
                <w:color w:val="000000"/>
                <w:kern w:val="0"/>
                <w:szCs w:val="21"/>
              </w:rPr>
              <w:br w:type="textWrapping"/>
            </w:r>
            <w:r>
              <w:rPr>
                <w:rFonts w:hint="eastAsia" w:ascii="宋体" w:hAnsi="宋体" w:cs="宋体"/>
                <w:color w:val="000000"/>
                <w:kern w:val="0"/>
                <w:szCs w:val="21"/>
              </w:rPr>
              <w:t>木质</w:t>
            </w:r>
            <w:r>
              <w:rPr>
                <w:rFonts w:hint="eastAsia" w:ascii="宋体" w:hAnsi="宋体" w:cs="宋体"/>
                <w:color w:val="000000"/>
                <w:kern w:val="0"/>
                <w:szCs w:val="21"/>
              </w:rPr>
              <w:br w:type="textWrapping"/>
            </w:r>
            <w:r>
              <w:rPr>
                <w:rFonts w:hint="eastAsia" w:ascii="宋体" w:hAnsi="宋体" w:cs="宋体"/>
                <w:color w:val="000000"/>
                <w:kern w:val="0"/>
                <w:szCs w:val="21"/>
              </w:rPr>
              <w:t>水泥</w:t>
            </w:r>
            <w:r>
              <w:rPr>
                <w:rFonts w:hint="eastAsia" w:ascii="宋体" w:hAnsi="宋体" w:cs="宋体"/>
                <w:color w:val="000000"/>
                <w:kern w:val="0"/>
                <w:szCs w:val="21"/>
              </w:rPr>
              <w:br w:type="textWrapping"/>
            </w:r>
            <w:r>
              <w:rPr>
                <w:rFonts w:hint="eastAsia" w:ascii="宋体" w:hAnsi="宋体" w:cs="宋体"/>
                <w:color w:val="000000"/>
                <w:kern w:val="0"/>
                <w:szCs w:val="21"/>
              </w:rPr>
              <w:t>铝合金</w:t>
            </w:r>
            <w:r>
              <w:rPr>
                <w:rFonts w:hint="eastAsia" w:ascii="宋体" w:hAnsi="宋体" w:cs="宋体"/>
                <w:color w:val="000000"/>
                <w:kern w:val="0"/>
                <w:szCs w:val="21"/>
              </w:rPr>
              <w:br w:type="textWrapping"/>
            </w:r>
            <w:r>
              <w:rPr>
                <w:rFonts w:hint="eastAsia" w:ascii="宋体" w:hAnsi="宋体" w:cs="宋体"/>
                <w:color w:val="000000"/>
                <w:kern w:val="0"/>
                <w:szCs w:val="21"/>
              </w:rPr>
              <w:t>玻璃钢</w:t>
            </w:r>
            <w:r>
              <w:rPr>
                <w:rFonts w:hint="eastAsia" w:ascii="宋体" w:hAnsi="宋体" w:cs="宋体"/>
                <w:color w:val="000000"/>
                <w:kern w:val="0"/>
                <w:szCs w:val="21"/>
              </w:rPr>
              <w:br w:type="textWrapping"/>
            </w:r>
            <w:r>
              <w:rPr>
                <w:rFonts w:hint="eastAsia" w:ascii="宋体" w:hAnsi="宋体" w:cs="宋体"/>
                <w:color w:val="000000"/>
                <w:kern w:val="0"/>
                <w:szCs w:val="21"/>
              </w:rPr>
              <w:t>玻璃纤维</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合同价格</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HTJG</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船舶建造的合同的价格。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建造起始日期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JZQSRQ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保险合同中约定的船舶建造的开始日期。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建造终止日期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JZZZRQ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保险合同中约定的船舶建造的结束日期。</w:t>
            </w:r>
          </w:p>
        </w:tc>
      </w:tr>
    </w:tbl>
    <w:p>
      <w:pPr>
        <w:pStyle w:val="44"/>
        <w:spacing w:line="560" w:lineRule="exact"/>
        <w:rPr>
          <w:rFonts w:ascii="Calibri" w:hAnsi="Calibri"/>
          <w:szCs w:val="22"/>
        </w:rPr>
      </w:pPr>
    </w:p>
    <w:p>
      <w:pPr>
        <w:pStyle w:val="6"/>
        <w:numPr>
          <w:ilvl w:val="0"/>
          <w:numId w:val="4"/>
        </w:numPr>
        <w:ind w:firstLine="600"/>
      </w:pPr>
      <w:r>
        <w:rPr>
          <w:rFonts w:hint="eastAsia"/>
        </w:rPr>
        <w:t>船舶险标的集装箱信息</w:t>
      </w:r>
    </w:p>
    <w:tbl>
      <w:tblPr>
        <w:tblStyle w:val="28"/>
        <w:tblW w:w="838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5"/>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9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CBXBDJZXXX</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船舶险标的集装箱信息</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1803</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本表报送保单标的（集装箱）的信息，当保单险类是集装箱险时报送该表信息。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9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集装箱箱体编号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JZXXTBH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指装运货物的集装箱箱号。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集装箱类型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JZXLX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017006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又称箱型，是指集装箱标的的集装箱的类型，填报中文描述。包括：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干货箱</w:t>
            </w:r>
            <w:r>
              <w:rPr>
                <w:rFonts w:hint="eastAsia" w:ascii="宋体" w:hAnsi="宋体" w:cs="宋体"/>
                <w:color w:val="000000"/>
                <w:kern w:val="0"/>
                <w:szCs w:val="21"/>
              </w:rPr>
              <w:br w:type="textWrapping"/>
            </w:r>
            <w:r>
              <w:rPr>
                <w:rFonts w:hint="eastAsia" w:ascii="宋体" w:hAnsi="宋体" w:cs="宋体"/>
                <w:color w:val="000000"/>
                <w:kern w:val="0"/>
                <w:szCs w:val="21"/>
              </w:rPr>
              <w:t>冷藏箱</w:t>
            </w:r>
            <w:r>
              <w:rPr>
                <w:rFonts w:hint="eastAsia" w:ascii="宋体" w:hAnsi="宋体" w:cs="宋体"/>
                <w:color w:val="000000"/>
                <w:kern w:val="0"/>
                <w:szCs w:val="21"/>
              </w:rPr>
              <w:br w:type="textWrapping"/>
            </w:r>
            <w:r>
              <w:rPr>
                <w:rFonts w:hint="eastAsia" w:ascii="宋体" w:hAnsi="宋体" w:cs="宋体"/>
                <w:color w:val="000000"/>
                <w:kern w:val="0"/>
                <w:szCs w:val="21"/>
              </w:rPr>
              <w:t>灌式箱</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集装箱尺寸</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JZXCC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集装箱标的的集装箱尺寸，例如：20GP、40HC/HQ(高柜)等。</w:t>
            </w:r>
          </w:p>
        </w:tc>
      </w:tr>
    </w:tbl>
    <w:p>
      <w:pPr>
        <w:pStyle w:val="44"/>
        <w:spacing w:line="560" w:lineRule="exact"/>
        <w:rPr>
          <w:szCs w:val="22"/>
        </w:rPr>
      </w:pPr>
    </w:p>
    <w:p>
      <w:pPr>
        <w:pStyle w:val="4"/>
      </w:pPr>
      <w:bookmarkStart w:id="73" w:name="_Toc1971532429"/>
      <w:bookmarkStart w:id="74" w:name="_Toc15489"/>
      <w:r>
        <w:rPr>
          <w:rFonts w:hint="eastAsia"/>
        </w:rPr>
        <w:t>工程险专项信息</w:t>
      </w:r>
      <w:bookmarkEnd w:id="73"/>
      <w:bookmarkEnd w:id="74"/>
    </w:p>
    <w:p>
      <w:pPr>
        <w:pStyle w:val="51"/>
        <w:numPr>
          <w:ilvl w:val="0"/>
          <w:numId w:val="24"/>
        </w:numPr>
      </w:pPr>
      <w:r>
        <w:rPr>
          <w:rFonts w:hint="eastAsia"/>
        </w:rPr>
        <w:t>工程险工程标的信息表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3"/>
        <w:gridCol w:w="1637"/>
        <w:gridCol w:w="822"/>
        <w:gridCol w:w="701"/>
        <w:gridCol w:w="701"/>
        <w:gridCol w:w="3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1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6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57"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GCXGCBDXXB</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工程险工程标的信息表</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1901</w:t>
            </w:r>
          </w:p>
        </w:tc>
        <w:tc>
          <w:tcPr>
            <w:tcW w:w="4457"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本表报送工程险工程标的的特有信息。若数据涉敏或涉密，无需报送。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1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6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0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5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工程名称</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GCMC</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工程险标的工程的名称。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工程项目地址国家或地区</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GCXMDZGJHDQ</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001013</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工程项目所在地址对应的国家或地区，对应《业务代码表》中的“国别”，填报中文描述。例如：中国、英国、美国。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工程项目地址所在省</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GCXMDZSZS</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工程项目地址所在省，默认值000000，对应《业务代码表》中的“县及县以上行政区划”，填报中文描述。例如：北京市、天津市、河北省等。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工程项目详细地址</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GCXMXXDZ</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工程项目地址，包含省市区县和街道名称和门牌号码。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工程类别</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GCLB</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019001</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工程险标的工程的分类，对应《业务代码表》中的“工程类别”，填报中文描述。例如：楼宇、陆上交通建筑工程等。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工程造价</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GCZJ</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工程险标的工程造价金额。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工程开始日期</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GCKSRQ</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合同中开工日期包括计划开工日期和实际开工日期。计划开工日期是指合同协议书约定的开工日期；实际开工日期是指监理人按照开工通知约定发出的符合法律规定的开工通知中载明的开工日期。对于已经下发开工通知的工程，工程开始日期指实际开工日期。对于还未下发开工通知的工程，工程开始日期指计划开工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工程终止日期</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GCZZRQ</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又称工程竣工日期，是指工程险标的工程的计划竣工日期，应与承包合同中的竣工日期保持一致。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试车开始日期</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SCKSRQ</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试车是指工程在竣工时期对设备、电路、管线等系统的试运行，检查是否运转正常，是否满足设计及规范要求。这里指工程险标的工程的试车开始日期。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试车终止日期</w:t>
            </w:r>
          </w:p>
        </w:tc>
        <w:tc>
          <w:tcPr>
            <w:tcW w:w="16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SCZZRQ</w:t>
            </w:r>
          </w:p>
        </w:tc>
        <w:tc>
          <w:tcPr>
            <w:tcW w:w="82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5"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试车是指工程在竣工时期对设备、电路、管线等系统的试运行，看是否运转正常，是否满足设计及规范要求。这里指工程险标的工程的试车终止日期。</w:t>
            </w:r>
          </w:p>
        </w:tc>
      </w:tr>
    </w:tbl>
    <w:p>
      <w:pPr>
        <w:pStyle w:val="44"/>
        <w:spacing w:line="560" w:lineRule="exact"/>
        <w:rPr>
          <w:rFonts w:ascii="Calibri" w:hAnsi="Calibri"/>
          <w:szCs w:val="22"/>
        </w:rPr>
      </w:pPr>
    </w:p>
    <w:p>
      <w:pPr>
        <w:pStyle w:val="6"/>
        <w:numPr>
          <w:ilvl w:val="0"/>
          <w:numId w:val="4"/>
        </w:numPr>
        <w:ind w:firstLine="600"/>
      </w:pPr>
      <w:r>
        <w:rPr>
          <w:rFonts w:hint="eastAsia"/>
        </w:rPr>
        <w:t>工程险设备标的信息表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1581"/>
        <w:gridCol w:w="832"/>
        <w:gridCol w:w="708"/>
        <w:gridCol w:w="708"/>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0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58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3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16"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GCXSBBDXXB</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工程险设备标的信息表</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1902</w:t>
            </w:r>
          </w:p>
        </w:tc>
        <w:tc>
          <w:tcPr>
            <w:tcW w:w="4516"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本表报送工程险设备标的的特有信息。若数据涉敏或涉密，无需报送。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0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58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3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0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设备名称</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SBMC</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工程险标的设备的名称。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设备规格型号</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SBGGXH</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工程险标的设备的规格型号。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设备使用证号</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SBSYZH</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019003</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工程险标的设备的设备使用证号。应与质量技术监督局签发的设备使用登记证上的设备使用证号保持一致。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设备使用证有效起始日期</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SBSYZYXQSRQ</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工程险标的设备的设备使用登记证有效的起始日期。应与质量技术监督局签发的设备使用登记证上的有效期起始日期保持一致。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设备使用证有效终止日期</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SBSYZYXZZRQ</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工程险标的设备的设备使用登记证有效的终止日期。应与质量技术监督局签发的设备使用登记证上的有效期终止日期保持一致。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设备地址国家或地区</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SBDZGJHDQ</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001013</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设备地址对应的国家或地区，对应《业务代码表》中的“国别”，填报中文描述。例如：中国、英国、美国。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设备地址所在省</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SBDZSZS</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设备地址所在省，默认值000000，对应《业务代码表》中的“县及县以上行政区划”，填报中文描述。例如：北京市、天津市、河北省等。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0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设备详细地址</w:t>
            </w:r>
          </w:p>
        </w:tc>
        <w:tc>
          <w:tcPr>
            <w:tcW w:w="158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SBXXDZ</w:t>
            </w:r>
          </w:p>
        </w:tc>
        <w:tc>
          <w:tcPr>
            <w:tcW w:w="83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工程标的设备所在地址，包含省市区县和街道名称和门牌号码。</w:t>
            </w:r>
          </w:p>
        </w:tc>
      </w:tr>
    </w:tbl>
    <w:p>
      <w:pPr>
        <w:pStyle w:val="44"/>
        <w:spacing w:line="560" w:lineRule="exact"/>
        <w:rPr>
          <w:szCs w:val="22"/>
        </w:rPr>
      </w:pPr>
    </w:p>
    <w:p>
      <w:pPr>
        <w:pStyle w:val="4"/>
      </w:pPr>
      <w:bookmarkStart w:id="75" w:name="_Toc9680"/>
      <w:bookmarkStart w:id="76" w:name="_Toc2020344640"/>
      <w:r>
        <w:rPr>
          <w:rFonts w:hint="eastAsia"/>
        </w:rPr>
        <w:t>特殊风险专项信息</w:t>
      </w:r>
      <w:bookmarkEnd w:id="75"/>
      <w:bookmarkEnd w:id="76"/>
    </w:p>
    <w:p>
      <w:pPr>
        <w:pStyle w:val="51"/>
        <w:numPr>
          <w:ilvl w:val="0"/>
          <w:numId w:val="25"/>
        </w:numPr>
      </w:pPr>
      <w:r>
        <w:rPr>
          <w:rFonts w:hint="eastAsia"/>
        </w:rPr>
        <w:t>航空险标的航空器信息表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404"/>
        <w:gridCol w:w="828"/>
        <w:gridCol w:w="705"/>
        <w:gridCol w:w="705"/>
        <w:gridCol w:w="3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0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0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92"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HKXBDHKQXXB</w:t>
            </w:r>
          </w:p>
        </w:tc>
        <w:tc>
          <w:tcPr>
            <w:tcW w:w="14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航空险标的航空器信息表</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2001</w:t>
            </w:r>
          </w:p>
        </w:tc>
        <w:tc>
          <w:tcPr>
            <w:tcW w:w="4492"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本表报送航空险标的航空器特有信息。若数据涉敏或涉密，无需报送。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0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0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0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8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8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8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8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8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8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8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航空器种类</w:t>
            </w:r>
          </w:p>
        </w:tc>
        <w:tc>
          <w:tcPr>
            <w:tcW w:w="14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HKQZL</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020002</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8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航空器种类，对应《业务代码表》中的“航空器种类”。填报中文描述，例如：气球、飞艇、固定翼航空器等。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航空器注册编号</w:t>
            </w:r>
          </w:p>
        </w:tc>
        <w:tc>
          <w:tcPr>
            <w:tcW w:w="14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HKQZCBH</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020001</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8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国籍登记标志编码，是指根据国际民用航空公约的规定，从事航行的每一航空器应载有的国籍标志和登记标志。根据《国际民用航空公约》要求，登记标志为阿拉伯数字、罗马体大写字母或二者的组合。国籍标志和登记标志之间应有一个短横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航空器机型</w:t>
            </w:r>
          </w:p>
        </w:tc>
        <w:tc>
          <w:tcPr>
            <w:tcW w:w="14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HKQJX</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8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航空器的机型或型号描述。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航空器制造年份</w:t>
            </w:r>
          </w:p>
        </w:tc>
        <w:tc>
          <w:tcPr>
            <w:tcW w:w="14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HKQZZNF</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001004</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8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航空器的制造完成的年份。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最大乘员数</w:t>
            </w:r>
          </w:p>
        </w:tc>
        <w:tc>
          <w:tcPr>
            <w:tcW w:w="14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ZDCYS</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8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航空器能够承载的包括机务人员和乘客的最大总数量。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95" w:hRule="atLeast"/>
        </w:trPr>
        <w:tc>
          <w:tcPr>
            <w:tcW w:w="1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航空器飞行用途</w:t>
            </w:r>
          </w:p>
        </w:tc>
        <w:tc>
          <w:tcPr>
            <w:tcW w:w="14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HKQFXYT</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020003</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82"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航空器进行飞行时的用途，填报中文描述。包括：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个人用途</w:t>
            </w:r>
            <w:r>
              <w:rPr>
                <w:rFonts w:hint="eastAsia" w:ascii="宋体" w:hAnsi="宋体" w:cs="宋体"/>
                <w:color w:val="000000"/>
                <w:kern w:val="0"/>
                <w:szCs w:val="21"/>
              </w:rPr>
              <w:br w:type="textWrapping"/>
            </w:r>
            <w:r>
              <w:rPr>
                <w:rFonts w:hint="eastAsia" w:ascii="宋体" w:hAnsi="宋体" w:cs="宋体"/>
                <w:color w:val="000000"/>
                <w:kern w:val="0"/>
                <w:szCs w:val="21"/>
              </w:rPr>
              <w:t>私用娱乐及公务飞行</w:t>
            </w:r>
            <w:r>
              <w:rPr>
                <w:rFonts w:hint="eastAsia" w:ascii="宋体" w:hAnsi="宋体" w:cs="宋体"/>
                <w:color w:val="000000"/>
                <w:kern w:val="0"/>
                <w:szCs w:val="21"/>
              </w:rPr>
              <w:br w:type="textWrapping"/>
            </w:r>
            <w:r>
              <w:rPr>
                <w:rFonts w:hint="eastAsia" w:ascii="宋体" w:hAnsi="宋体" w:cs="宋体"/>
                <w:color w:val="000000"/>
                <w:kern w:val="0"/>
                <w:szCs w:val="21"/>
              </w:rPr>
              <w:t>训练飞行</w:t>
            </w:r>
            <w:r>
              <w:rPr>
                <w:rFonts w:hint="eastAsia" w:ascii="宋体" w:hAnsi="宋体" w:cs="宋体"/>
                <w:color w:val="000000"/>
                <w:kern w:val="0"/>
                <w:szCs w:val="21"/>
              </w:rPr>
              <w:br w:type="textWrapping"/>
            </w:r>
            <w:r>
              <w:rPr>
                <w:rFonts w:hint="eastAsia" w:ascii="宋体" w:hAnsi="宋体" w:cs="宋体"/>
                <w:color w:val="000000"/>
                <w:kern w:val="0"/>
                <w:szCs w:val="21"/>
              </w:rPr>
              <w:t>商业飞行</w:t>
            </w:r>
            <w:r>
              <w:rPr>
                <w:rFonts w:hint="eastAsia" w:ascii="宋体" w:hAnsi="宋体" w:cs="宋体"/>
                <w:color w:val="000000"/>
                <w:kern w:val="0"/>
                <w:szCs w:val="21"/>
              </w:rPr>
              <w:br w:type="textWrapping"/>
            </w:r>
            <w:r>
              <w:rPr>
                <w:rFonts w:hint="eastAsia" w:ascii="宋体" w:hAnsi="宋体" w:cs="宋体"/>
                <w:color w:val="000000"/>
                <w:kern w:val="0"/>
                <w:szCs w:val="21"/>
              </w:rPr>
              <w:t>军用飞行</w:t>
            </w:r>
            <w:r>
              <w:rPr>
                <w:rFonts w:hint="eastAsia" w:ascii="宋体" w:hAnsi="宋体" w:cs="宋体"/>
                <w:color w:val="000000"/>
                <w:kern w:val="0"/>
                <w:szCs w:val="21"/>
              </w:rPr>
              <w:br w:type="textWrapping"/>
            </w:r>
            <w:r>
              <w:rPr>
                <w:rFonts w:hint="eastAsia" w:ascii="宋体" w:hAnsi="宋体" w:cs="宋体"/>
                <w:color w:val="000000"/>
                <w:kern w:val="0"/>
                <w:szCs w:val="21"/>
              </w:rPr>
              <w:t>空中作业</w:t>
            </w:r>
            <w:r>
              <w:rPr>
                <w:rFonts w:hint="eastAsia" w:ascii="宋体" w:hAnsi="宋体" w:cs="宋体"/>
                <w:color w:val="000000"/>
                <w:kern w:val="0"/>
                <w:szCs w:val="21"/>
              </w:rPr>
              <w:br w:type="textWrapping"/>
            </w:r>
            <w:r>
              <w:rPr>
                <w:rFonts w:hint="eastAsia" w:ascii="宋体" w:hAnsi="宋体" w:cs="宋体"/>
                <w:color w:val="000000"/>
                <w:kern w:val="0"/>
                <w:szCs w:val="21"/>
              </w:rPr>
              <w:t>警用/政府相关用途</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bl>
    <w:p>
      <w:pPr>
        <w:pStyle w:val="44"/>
        <w:spacing w:line="560" w:lineRule="exact"/>
        <w:rPr>
          <w:szCs w:val="22"/>
        </w:rPr>
      </w:pPr>
    </w:p>
    <w:p>
      <w:pPr>
        <w:pStyle w:val="6"/>
        <w:numPr>
          <w:ilvl w:val="0"/>
          <w:numId w:val="4"/>
        </w:numPr>
        <w:ind w:firstLine="600"/>
      </w:pPr>
      <w:r>
        <w:rPr>
          <w:rFonts w:hint="eastAsia"/>
        </w:rPr>
        <w:t>航天险标的信息表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HTXBDXXB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航天险标的信息表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2002</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本表报送航天险标的特有信息。若数据涉敏或涉密，无需报送。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航天器型号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HTQXH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包含卫星、火箭等航天器的型号。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航天器名称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HTQMC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包含卫星、火箭等航天器的名称。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卫星平台型号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WXPTXH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包含卫星平台型号描述。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首次使用标志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SCSYBZ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标的火箭是否是第一次执行发射任务。填报中文描述：是，否。</w:t>
            </w:r>
          </w:p>
        </w:tc>
      </w:tr>
    </w:tbl>
    <w:p>
      <w:pPr>
        <w:pStyle w:val="44"/>
        <w:spacing w:line="560" w:lineRule="exact"/>
        <w:rPr>
          <w:szCs w:val="22"/>
        </w:rPr>
      </w:pPr>
    </w:p>
    <w:p>
      <w:pPr>
        <w:pStyle w:val="6"/>
        <w:numPr>
          <w:ilvl w:val="0"/>
          <w:numId w:val="4"/>
        </w:numPr>
        <w:ind w:firstLine="600"/>
      </w:pPr>
      <w:r>
        <w:rPr>
          <w:rFonts w:hint="eastAsia"/>
        </w:rPr>
        <w:t>核险建安工程标的信息表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617"/>
        <w:gridCol w:w="814"/>
        <w:gridCol w:w="694"/>
        <w:gridCol w:w="694"/>
        <w:gridCol w:w="30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9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61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04"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HXJAGCBDXXB</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核险建安工程标的信息表</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2003</w:t>
            </w:r>
          </w:p>
        </w:tc>
        <w:tc>
          <w:tcPr>
            <w:tcW w:w="4404"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本表报送核险标的工程的特有信息。若数据涉敏或涉密，无需报送。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9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61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9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9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1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1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1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1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1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1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1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工程名称</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GCMC</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1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所承保的工程名称。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工程项目地址国家或地区</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GCXMDZGJHDQ</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001013</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1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工程项目所在地址对应的国家或地区，对应《业务代码表》中的“国别”，填报中文描述。例如：中国、英国、美国。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工程项目地址所在省</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GCXMDZSZS</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1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工程项目地址所在省，默认值000000，对应《业务代码表》中的“县及县以上行政区划”，填报中文描述。例如：北京市、天津市、河北省等。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工程项目详细地址</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GCXMXXDZ</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1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工程项目地址，包含省市区县和街道名称和门牌号码。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工程开始日期</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GCKSRQ</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1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合同中开工日期包括计划开工日期和实际开工日期。计划开工日期是指合同协议书约定的开工日期；实际开工日期是指监理人按照开工通知约定发出的符合法律规定的开工通知中载明的开工日期。对于已经下发开工通知的工程，工程开始日期指实际开工日期。对于还未下发开工通知的工程，工程开始日期指计划开工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工程终止日期</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GCZZRQ</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1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又称工程竣工日期，是指工程险标的工程的计划竣工日期，应与承包合同中的竣工日期保持一致。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保证期开始日期</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BZQKSRQ</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1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保证期是指承包人按照合同约定承担缺陷修复义务的期限，自工程实际竣工日期起计算。这里指工程险标的工程的保证期开始日期。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保证期终止日期</w:t>
            </w:r>
          </w:p>
        </w:tc>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BZQZZRQ</w:t>
            </w:r>
          </w:p>
        </w:tc>
        <w:tc>
          <w:tcPr>
            <w:tcW w:w="81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1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保证期是指承包人按照合同约定承担缺陷修复义务的期限，自工程实际竣工日期起计算。这里指工程险标的工程的保证期终止日期。</w:t>
            </w:r>
          </w:p>
        </w:tc>
      </w:tr>
    </w:tbl>
    <w:p>
      <w:pPr>
        <w:pStyle w:val="44"/>
        <w:spacing w:line="560" w:lineRule="exact"/>
        <w:rPr>
          <w:szCs w:val="22"/>
        </w:rPr>
      </w:pPr>
    </w:p>
    <w:p>
      <w:pPr>
        <w:pStyle w:val="6"/>
        <w:numPr>
          <w:ilvl w:val="0"/>
          <w:numId w:val="4"/>
        </w:numPr>
        <w:ind w:firstLine="600"/>
      </w:pPr>
      <w:r>
        <w:rPr>
          <w:rFonts w:hint="eastAsia"/>
        </w:rPr>
        <w:t>核险核电站标的信息表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1431"/>
        <w:gridCol w:w="841"/>
        <w:gridCol w:w="716"/>
        <w:gridCol w:w="716"/>
        <w:gridCol w:w="31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7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79"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HXHDZBDXXB</w:t>
            </w:r>
          </w:p>
        </w:tc>
        <w:tc>
          <w:tcPr>
            <w:tcW w:w="14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核险核电站标的信息表</w:t>
            </w:r>
          </w:p>
        </w:tc>
        <w:tc>
          <w:tcPr>
            <w:tcW w:w="8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2004</w:t>
            </w:r>
          </w:p>
        </w:tc>
        <w:tc>
          <w:tcPr>
            <w:tcW w:w="4579"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本表报送核险标的核电站的特有信息。若数据涉敏或涉密，无需报送。若数据涉敏或涉密，无需报送。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7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4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核电站名称</w:t>
            </w:r>
          </w:p>
        </w:tc>
        <w:tc>
          <w:tcPr>
            <w:tcW w:w="14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HDZMC</w:t>
            </w:r>
          </w:p>
        </w:tc>
        <w:tc>
          <w:tcPr>
            <w:tcW w:w="8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核险核电站的名称。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核电站地址所在省</w:t>
            </w:r>
          </w:p>
        </w:tc>
        <w:tc>
          <w:tcPr>
            <w:tcW w:w="14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HDZDZSZS</w:t>
            </w:r>
          </w:p>
        </w:tc>
        <w:tc>
          <w:tcPr>
            <w:tcW w:w="8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核电站地址所在省，默认值000000，对应《业务代码表》中的“县及县以上行政区划”，填报中文描述。例如：北京市、天津市、河北省等。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7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核电站详细地址</w:t>
            </w:r>
          </w:p>
        </w:tc>
        <w:tc>
          <w:tcPr>
            <w:tcW w:w="14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HDZXXDZ</w:t>
            </w:r>
          </w:p>
        </w:tc>
        <w:tc>
          <w:tcPr>
            <w:tcW w:w="84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4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核电站地址，包含省市区县和街道名称和门牌号码。</w:t>
            </w:r>
          </w:p>
        </w:tc>
      </w:tr>
    </w:tbl>
    <w:p>
      <w:pPr>
        <w:pStyle w:val="44"/>
        <w:spacing w:line="560" w:lineRule="exact"/>
        <w:rPr>
          <w:szCs w:val="22"/>
        </w:rPr>
      </w:pPr>
    </w:p>
    <w:p>
      <w:pPr>
        <w:pStyle w:val="6"/>
        <w:numPr>
          <w:ilvl w:val="0"/>
          <w:numId w:val="4"/>
        </w:numPr>
        <w:ind w:firstLine="600"/>
      </w:pPr>
      <w:r>
        <w:rPr>
          <w:rFonts w:hint="eastAsia"/>
        </w:rPr>
        <w:t>石油井喷控制险标的信息表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8"/>
        <w:gridCol w:w="1408"/>
        <w:gridCol w:w="829"/>
        <w:gridCol w:w="707"/>
        <w:gridCol w:w="707"/>
        <w:gridCol w:w="30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8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04"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8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SYJPKZXBDXXB</w:t>
            </w:r>
          </w:p>
        </w:tc>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石油井喷控制险标的信息表</w:t>
            </w:r>
          </w:p>
        </w:tc>
        <w:tc>
          <w:tcPr>
            <w:tcW w:w="82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2005</w:t>
            </w:r>
          </w:p>
        </w:tc>
        <w:tc>
          <w:tcPr>
            <w:tcW w:w="4504"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本表报送石油险标的石油井的特有信息。若数据涉敏或涉密，无需报送。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8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0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8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8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8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8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8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2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2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8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井名</w:t>
            </w:r>
          </w:p>
        </w:tc>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JM</w:t>
            </w:r>
          </w:p>
        </w:tc>
        <w:tc>
          <w:tcPr>
            <w:tcW w:w="82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石油井的名称。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0" w:hRule="atLeast"/>
        </w:trPr>
        <w:tc>
          <w:tcPr>
            <w:tcW w:w="168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井别</w:t>
            </w:r>
          </w:p>
        </w:tc>
        <w:tc>
          <w:tcPr>
            <w:tcW w:w="14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JB</w:t>
            </w:r>
          </w:p>
        </w:tc>
        <w:tc>
          <w:tcPr>
            <w:tcW w:w="82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020006</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9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井别是指按照钻井目的和开发的要求，把井分为不同的类别，填报中文描述。包括：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探井</w:t>
            </w:r>
            <w:r>
              <w:rPr>
                <w:rFonts w:hint="eastAsia" w:ascii="宋体" w:hAnsi="宋体" w:cs="宋体"/>
                <w:color w:val="000000"/>
                <w:kern w:val="0"/>
                <w:szCs w:val="21"/>
              </w:rPr>
              <w:br w:type="textWrapping"/>
            </w:r>
            <w:r>
              <w:rPr>
                <w:rFonts w:hint="eastAsia" w:ascii="宋体" w:hAnsi="宋体" w:cs="宋体"/>
                <w:color w:val="000000"/>
                <w:kern w:val="0"/>
                <w:szCs w:val="21"/>
              </w:rPr>
              <w:t>开发井</w:t>
            </w:r>
            <w:r>
              <w:rPr>
                <w:rFonts w:hint="eastAsia" w:ascii="宋体" w:hAnsi="宋体" w:cs="宋体"/>
                <w:color w:val="000000"/>
                <w:kern w:val="0"/>
                <w:szCs w:val="21"/>
              </w:rPr>
              <w:br w:type="textWrapping"/>
            </w:r>
            <w:r>
              <w:rPr>
                <w:rFonts w:hint="eastAsia" w:ascii="宋体" w:hAnsi="宋体" w:cs="宋体"/>
                <w:color w:val="000000"/>
                <w:kern w:val="0"/>
                <w:szCs w:val="21"/>
              </w:rPr>
              <w:t>生产井</w:t>
            </w:r>
            <w:r>
              <w:rPr>
                <w:rFonts w:hint="eastAsia" w:ascii="宋体" w:hAnsi="宋体" w:cs="宋体"/>
                <w:color w:val="000000"/>
                <w:kern w:val="0"/>
                <w:szCs w:val="21"/>
              </w:rPr>
              <w:br w:type="textWrapping"/>
            </w:r>
            <w:r>
              <w:rPr>
                <w:rFonts w:hint="eastAsia" w:ascii="宋体" w:hAnsi="宋体" w:cs="宋体"/>
                <w:color w:val="000000"/>
                <w:kern w:val="0"/>
                <w:szCs w:val="21"/>
              </w:rPr>
              <w:t>弃置井</w:t>
            </w:r>
          </w:p>
        </w:tc>
      </w:tr>
    </w:tbl>
    <w:p>
      <w:pPr>
        <w:pStyle w:val="44"/>
        <w:spacing w:line="560" w:lineRule="exact"/>
        <w:rPr>
          <w:szCs w:val="22"/>
        </w:rPr>
      </w:pPr>
    </w:p>
    <w:p>
      <w:pPr>
        <w:pStyle w:val="6"/>
        <w:numPr>
          <w:ilvl w:val="0"/>
          <w:numId w:val="4"/>
        </w:numPr>
        <w:ind w:firstLine="600"/>
      </w:pPr>
      <w:r>
        <w:rPr>
          <w:rFonts w:hint="eastAsia"/>
        </w:rPr>
        <w:t>石油钻井平台险标的信息表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0"/>
        <w:gridCol w:w="1412"/>
        <w:gridCol w:w="831"/>
        <w:gridCol w:w="708"/>
        <w:gridCol w:w="708"/>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7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16"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SYZJPTXBDXXB</w:t>
            </w:r>
          </w:p>
        </w:tc>
        <w:tc>
          <w:tcPr>
            <w:tcW w:w="14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石油钻井平台险标的信息表</w:t>
            </w:r>
          </w:p>
        </w:tc>
        <w:tc>
          <w:tcPr>
            <w:tcW w:w="8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2006</w:t>
            </w:r>
          </w:p>
        </w:tc>
        <w:tc>
          <w:tcPr>
            <w:tcW w:w="4516"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本表报送石油险标的钻井平台的特有信息。若数据涉敏或涉密，无需报送。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7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1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3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0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平台名称</w:t>
            </w:r>
          </w:p>
        </w:tc>
        <w:tc>
          <w:tcPr>
            <w:tcW w:w="14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PTMC</w:t>
            </w:r>
          </w:p>
        </w:tc>
        <w:tc>
          <w:tcPr>
            <w:tcW w:w="8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石油井平台的名称。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平台编号</w:t>
            </w:r>
          </w:p>
        </w:tc>
        <w:tc>
          <w:tcPr>
            <w:tcW w:w="14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PTBH</w:t>
            </w:r>
          </w:p>
        </w:tc>
        <w:tc>
          <w:tcPr>
            <w:tcW w:w="8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石油井平台的编号。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平台种类</w:t>
            </w:r>
          </w:p>
        </w:tc>
        <w:tc>
          <w:tcPr>
            <w:tcW w:w="141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PTZL</w:t>
            </w:r>
          </w:p>
        </w:tc>
        <w:tc>
          <w:tcPr>
            <w:tcW w:w="83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020007</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0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平台种类是用于油气资源勘探与开发平台种类的描述，填报中文描述。包括：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移动式平台</w:t>
            </w:r>
            <w:r>
              <w:rPr>
                <w:rFonts w:hint="eastAsia" w:ascii="宋体" w:hAnsi="宋体" w:cs="宋体"/>
                <w:color w:val="000000"/>
                <w:kern w:val="0"/>
                <w:szCs w:val="21"/>
              </w:rPr>
              <w:br w:type="textWrapping"/>
            </w:r>
            <w:r>
              <w:rPr>
                <w:rFonts w:hint="eastAsia" w:ascii="宋体" w:hAnsi="宋体" w:cs="宋体"/>
                <w:color w:val="000000"/>
                <w:kern w:val="0"/>
                <w:szCs w:val="21"/>
              </w:rPr>
              <w:t>固定式平台</w:t>
            </w:r>
            <w:r>
              <w:rPr>
                <w:rFonts w:hint="eastAsia" w:ascii="宋体" w:hAnsi="宋体" w:cs="宋体"/>
                <w:color w:val="000000"/>
                <w:kern w:val="0"/>
                <w:szCs w:val="21"/>
              </w:rPr>
              <w:br w:type="textWrapping"/>
            </w:r>
            <w:r>
              <w:rPr>
                <w:rFonts w:hint="eastAsia" w:ascii="宋体" w:hAnsi="宋体" w:cs="宋体"/>
                <w:color w:val="000000"/>
                <w:kern w:val="0"/>
                <w:szCs w:val="21"/>
              </w:rPr>
              <w:t>顺应式结构的总称</w:t>
            </w:r>
          </w:p>
        </w:tc>
      </w:tr>
    </w:tbl>
    <w:p>
      <w:pPr>
        <w:pStyle w:val="44"/>
        <w:spacing w:line="560" w:lineRule="exact"/>
        <w:rPr>
          <w:szCs w:val="22"/>
        </w:rPr>
      </w:pPr>
    </w:p>
    <w:p>
      <w:pPr>
        <w:pStyle w:val="6"/>
        <w:numPr>
          <w:ilvl w:val="0"/>
          <w:numId w:val="4"/>
        </w:numPr>
        <w:ind w:firstLine="600"/>
      </w:pPr>
      <w:r>
        <w:rPr>
          <w:rFonts w:hint="eastAsia"/>
        </w:rPr>
        <w:t>石油开发设备险标的信息表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5"/>
        <w:gridCol w:w="1402"/>
        <w:gridCol w:w="826"/>
        <w:gridCol w:w="704"/>
        <w:gridCol w:w="704"/>
        <w:gridCol w:w="3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1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0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86"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SYKFSBXBDXXB</w:t>
            </w:r>
          </w:p>
        </w:tc>
        <w:tc>
          <w:tcPr>
            <w:tcW w:w="14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石油开发设备险标的信息表</w:t>
            </w:r>
          </w:p>
        </w:tc>
        <w:tc>
          <w:tcPr>
            <w:tcW w:w="8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2007</w:t>
            </w:r>
          </w:p>
        </w:tc>
        <w:tc>
          <w:tcPr>
            <w:tcW w:w="4486"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本表报送石油险标的石油开发设备的特有信息。若数据涉敏或涉密，无需报送。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71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0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0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7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4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设备名称</w:t>
            </w:r>
          </w:p>
        </w:tc>
        <w:tc>
          <w:tcPr>
            <w:tcW w:w="14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SBMC</w:t>
            </w:r>
          </w:p>
        </w:tc>
        <w:tc>
          <w:tcPr>
            <w:tcW w:w="8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石油开发设备的名称。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71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设备型号</w:t>
            </w:r>
          </w:p>
        </w:tc>
        <w:tc>
          <w:tcPr>
            <w:tcW w:w="14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SBXH</w:t>
            </w:r>
          </w:p>
        </w:tc>
        <w:tc>
          <w:tcPr>
            <w:tcW w:w="82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7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石油开发设备的型号。</w:t>
            </w:r>
          </w:p>
        </w:tc>
      </w:tr>
    </w:tbl>
    <w:p>
      <w:pPr>
        <w:pStyle w:val="44"/>
        <w:spacing w:line="560" w:lineRule="exact"/>
        <w:rPr>
          <w:szCs w:val="22"/>
        </w:rPr>
      </w:pPr>
    </w:p>
    <w:p>
      <w:pPr>
        <w:pStyle w:val="6"/>
        <w:numPr>
          <w:ilvl w:val="0"/>
          <w:numId w:val="4"/>
        </w:numPr>
        <w:ind w:firstLine="600"/>
      </w:pPr>
      <w:r>
        <w:rPr>
          <w:rFonts w:hint="eastAsia"/>
        </w:rPr>
        <w:t>石油建安工险标的信息表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1623"/>
        <w:gridCol w:w="816"/>
        <w:gridCol w:w="696"/>
        <w:gridCol w:w="696"/>
        <w:gridCol w:w="3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62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22"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SYJAGXBDXXB</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石油建安工险标的信息表</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2008</w:t>
            </w:r>
          </w:p>
        </w:tc>
        <w:tc>
          <w:tcPr>
            <w:tcW w:w="4422"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本表报送石油险标的工程的特有信息。若数据涉敏或涉密，无需报送。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62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9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3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标的序号</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BDXH</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001016</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保单下标的序号，多标的顺序+1，保单下唯一。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工程名称</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GCMC</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所承保的工程名称。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石油建安工程类别</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SYJAGCLB</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020005</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石油建安工程的分类，填报中文描述。包括：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海上工程</w:t>
            </w:r>
            <w:r>
              <w:rPr>
                <w:rFonts w:hint="eastAsia" w:ascii="宋体" w:hAnsi="宋体" w:cs="宋体"/>
                <w:color w:val="000000"/>
                <w:kern w:val="0"/>
                <w:szCs w:val="21"/>
              </w:rPr>
              <w:br w:type="textWrapping"/>
            </w:r>
            <w:r>
              <w:rPr>
                <w:rFonts w:hint="eastAsia" w:ascii="宋体" w:hAnsi="宋体" w:cs="宋体"/>
                <w:color w:val="000000"/>
                <w:kern w:val="0"/>
                <w:szCs w:val="21"/>
              </w:rPr>
              <w:t>陆地工程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工程项目地址国家或地区</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GCXMDZGJHDQ</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001013</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工程项目所在地址对应的国家或地区，对应《业务代码表》中的“国别”，填报中文描述。例如：中国、英国、美国。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工程项目地址所在省</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GCXMDZSZS</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001014</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工程项目地址所在省，默认值000000，对应《业务代码表》中的“县及县以上行政区划”，填报中文描述。例如：北京市、天津市、河北省等。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工程项目详细地址</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GCXMXXDZ</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001015</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工程项目所在地址描述信息。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工程开始日期</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GCKSRQ</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工程合同中开工日期包括计划开工日期和实际开工日期。计划开工日期是指合同协议书约定的开工日期；实际开工日期是指监理人按照开工通知约定发出的符合法律规定的开工通知中载明的开工日期。对于已经下发开工通知的工程，工程开始日期指实际开工日期。对于还未下发开工通知的工程，工程开始日期指计划开工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工程终止日期</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GCZZRQ</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工程竣工日期，是指工程险标的工程的计划竣工日期。。工程合同中竣工日期包括计划竣工日期和实际竣工日期。计划竣工日期是指合同协议书约定的竣工日期；实际竣工日期按照竣工验收程序中关于竣工日期的约定确定。应与承包合同中的竣工日期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保证期开始日期</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BZQKSRQ</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保证期是指承包人按照合同约定承担缺陷修复义务的期限，自工程实际竣工日期起计算。这里指工程险标的工程的保证期开始日期。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56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保证期终止日期</w:t>
            </w:r>
          </w:p>
        </w:tc>
        <w:tc>
          <w:tcPr>
            <w:tcW w:w="16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BZQZZRQ</w:t>
            </w:r>
          </w:p>
        </w:tc>
        <w:tc>
          <w:tcPr>
            <w:tcW w:w="81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9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3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保证期是指承包人按照合同约定承担缺陷修复义务的期限，自工程实际竣工日期起计算。这里指工程险标的工程的保证期终止日期。</w:t>
            </w:r>
          </w:p>
        </w:tc>
      </w:tr>
    </w:tbl>
    <w:p>
      <w:pPr>
        <w:pStyle w:val="44"/>
        <w:spacing w:line="560" w:lineRule="exact"/>
        <w:rPr>
          <w:szCs w:val="22"/>
        </w:rPr>
      </w:pPr>
    </w:p>
    <w:p>
      <w:pPr>
        <w:pStyle w:val="4"/>
      </w:pPr>
      <w:bookmarkStart w:id="77" w:name="_Toc18076"/>
      <w:bookmarkStart w:id="78" w:name="_Toc2068421763"/>
      <w:r>
        <w:rPr>
          <w:rFonts w:hint="eastAsia"/>
        </w:rPr>
        <w:t>投资业务信息</w:t>
      </w:r>
      <w:bookmarkEnd w:id="77"/>
      <w:bookmarkEnd w:id="78"/>
    </w:p>
    <w:p>
      <w:pPr>
        <w:pStyle w:val="51"/>
        <w:numPr>
          <w:ilvl w:val="0"/>
          <w:numId w:val="26"/>
        </w:numPr>
      </w:pPr>
      <w:r>
        <w:rPr>
          <w:rFonts w:hint="eastAsia"/>
        </w:rPr>
        <w:t>资金运用规模汇总表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4"/>
        <w:gridCol w:w="1803"/>
        <w:gridCol w:w="821"/>
        <w:gridCol w:w="1002"/>
        <w:gridCol w:w="658"/>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80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61"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ZJYYGMHZB</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资金运用规模汇总表</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2101</w:t>
            </w:r>
          </w:p>
        </w:tc>
        <w:tc>
          <w:tcPr>
            <w:tcW w:w="4461"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本表报送财产保险公司运用保险资金和自有资金的规模汇总信息。资产的划分标准依据银保监办发〔</w:t>
            </w:r>
            <w:r>
              <w:rPr>
                <w:rFonts w:ascii="宋体" w:hAnsi="宋体" w:cs="宋体"/>
                <w:color w:val="000000"/>
                <w:kern w:val="0"/>
                <w:szCs w:val="21"/>
              </w:rPr>
              <w:t>2019〕98号（中国银保监会办公厅关于明确保险资产负债管理报告报送要求的通知）《保险资产负债管理监管规则第2号：财产保险公司资产负债管理量化评估规则》附件1-1-2.资金运用规模。本表按月度报送各类资产月末账面价值。要求填报人民币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80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100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5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0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10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0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10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0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10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0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0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0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投资类型</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TZLX</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021006</w:t>
            </w:r>
          </w:p>
        </w:tc>
        <w:tc>
          <w:tcPr>
            <w:tcW w:w="10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0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根据财产保险公司运用保险资金和自有资金的方式，分为自主投资和委托投资，填报中文说明。包括：</w:t>
            </w:r>
            <w:r>
              <w:rPr>
                <w:rFonts w:hint="eastAsia" w:ascii="宋体" w:hAnsi="宋体" w:cs="宋体"/>
                <w:color w:val="000000"/>
                <w:kern w:val="0"/>
                <w:szCs w:val="21"/>
              </w:rPr>
              <w:br w:type="textWrapping"/>
            </w:r>
            <w:r>
              <w:rPr>
                <w:rFonts w:hint="eastAsia" w:ascii="宋体" w:hAnsi="宋体" w:cs="宋体"/>
                <w:color w:val="000000"/>
                <w:kern w:val="0"/>
                <w:szCs w:val="21"/>
              </w:rPr>
              <w:t>自主投资</w:t>
            </w:r>
            <w:r>
              <w:rPr>
                <w:rFonts w:hint="eastAsia" w:ascii="宋体" w:hAnsi="宋体" w:cs="宋体"/>
                <w:color w:val="000000"/>
                <w:kern w:val="0"/>
                <w:szCs w:val="21"/>
              </w:rPr>
              <w:br w:type="textWrapping"/>
            </w:r>
            <w:r>
              <w:rPr>
                <w:rFonts w:hint="eastAsia" w:ascii="宋体" w:hAnsi="宋体" w:cs="宋体"/>
                <w:color w:val="000000"/>
                <w:kern w:val="0"/>
                <w:szCs w:val="21"/>
              </w:rPr>
              <w:t>委托投资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账户类型</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ZHLX</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021002</w:t>
            </w:r>
          </w:p>
        </w:tc>
        <w:tc>
          <w:tcPr>
            <w:tcW w:w="10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0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根据账户内资金来源划分账户的类型，填报中文说明。包括：</w:t>
            </w:r>
            <w:r>
              <w:rPr>
                <w:rFonts w:hint="eastAsia" w:ascii="宋体" w:hAnsi="宋体" w:cs="宋体"/>
                <w:color w:val="000000"/>
                <w:kern w:val="0"/>
                <w:szCs w:val="21"/>
              </w:rPr>
              <w:br w:type="textWrapping"/>
            </w:r>
            <w:r>
              <w:rPr>
                <w:rFonts w:hint="eastAsia" w:ascii="宋体" w:hAnsi="宋体" w:cs="宋体"/>
                <w:color w:val="000000"/>
                <w:kern w:val="0"/>
                <w:szCs w:val="21"/>
              </w:rPr>
              <w:t>传统保险账户</w:t>
            </w:r>
            <w:r>
              <w:rPr>
                <w:rFonts w:hint="eastAsia" w:ascii="宋体" w:hAnsi="宋体" w:cs="宋体"/>
                <w:color w:val="000000"/>
                <w:kern w:val="0"/>
                <w:szCs w:val="21"/>
              </w:rPr>
              <w:br w:type="textWrapping"/>
            </w:r>
            <w:r>
              <w:rPr>
                <w:rFonts w:hint="eastAsia" w:ascii="宋体" w:hAnsi="宋体" w:cs="宋体"/>
                <w:color w:val="000000"/>
                <w:kern w:val="0"/>
                <w:szCs w:val="21"/>
              </w:rPr>
              <w:t>资本补充债和次级债账户</w:t>
            </w:r>
            <w:r>
              <w:rPr>
                <w:rFonts w:hint="eastAsia" w:ascii="宋体" w:hAnsi="宋体" w:cs="宋体"/>
                <w:color w:val="000000"/>
                <w:kern w:val="0"/>
                <w:szCs w:val="21"/>
              </w:rPr>
              <w:br w:type="textWrapping"/>
            </w:r>
            <w:r>
              <w:rPr>
                <w:rFonts w:hint="eastAsia" w:ascii="宋体" w:hAnsi="宋体" w:cs="宋体"/>
                <w:color w:val="000000"/>
                <w:kern w:val="0"/>
                <w:szCs w:val="21"/>
              </w:rPr>
              <w:t>预定收益型投资保险产品</w:t>
            </w:r>
            <w:r>
              <w:rPr>
                <w:rFonts w:hint="eastAsia" w:ascii="宋体" w:hAnsi="宋体" w:cs="宋体"/>
                <w:color w:val="000000"/>
                <w:kern w:val="0"/>
                <w:szCs w:val="21"/>
              </w:rPr>
              <w:br w:type="textWrapping"/>
            </w:r>
            <w:r>
              <w:rPr>
                <w:rFonts w:hint="eastAsia" w:ascii="宋体" w:hAnsi="宋体" w:cs="宋体"/>
                <w:color w:val="000000"/>
                <w:kern w:val="0"/>
                <w:szCs w:val="21"/>
              </w:rPr>
              <w:t>非预定收益型投资保险产品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账面价值</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ZMJZ</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0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0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需参照银保监办发〔2019〕98号（中国银保监会办公厅关于明确保险资产负债管理报告报送要求的通知）《保险资产负债管理监管规则第2号：财产保险公司资产负债管理量化评估规则》报送资金账面价值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现金及流动性管理工具账面价值</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XJJLDXGLGJZMJZ</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0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0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现金及流动性管理工具类资产的划分标准依据银保监办发〔2019〕98号（中国银保监会办公厅关于明确保险资产负债管理报告报送要求的通知）《保险资产负债管理监管规则第2号：财产保险公司资产负债管理量化评估规则》附件1-1-2.资金运用规模，详细资产内容请根据文中定义。使用全价口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固定收益类投资资产账面价值</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GDSYLTZZCZMJZ</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0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0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固定收益类投资资产的划分标准依据银保监办发〔2019〕98号（中国银保监会办公厅关于明确保险资产负债管理报告报送要求的通知）《保险资产负债管理监管规则第2号：财产保险公司资产负债管理量化评估规则》附件1-1-2.资金运用规模，详细资产内容请根据文中定义。使用全价口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权益类投资资产账面价值</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QYLTZZCZMJZ</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0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0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权益类投资资产的划分标准依据银保监办发〔2019〕98号（中国银保监会办公厅关于明确保险资产负债管理报告报送要求的通知）《保险资产负债管理监管规则第2号：财产保险公司资产负债管理量化评估规则》附件1-1-2.资金运用规模，详细资产内容请根据文中定义。使用全价口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投资性房地产账面价值</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TZXFDCZMJZ</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0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0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性房地产的划分标准依据银保监办发〔2019〕98号（中国银保监会办公厅关于明确保险资产负债管理报告报送要求的通知）《保险资产负债管理监管规则第2号：财产保险公司资产负债管理量化评估规则》附件1-1-2.资金运用规模，详细资产内容请根据文中定义。使用全价口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贷款账面价值</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DKZMJZ</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0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0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的划分标准依据银保监办发〔2019〕98号（中国银保监会办公厅关于明确保险资产负债管理报告报送要求的通知）《保险资产负债管理监管规则第2号：财产保险公司资产负债管理量化评估规则》附件1-1-2.资金运用规模，详细资产内容请根据文中定义。使用全价口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金融衍生工具账面价值</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JRYSGJZMJZ</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0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0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金融衍生工具的划分标准依据银保监办发〔2019〕98号（中国银保监会办公厅关于明确保险资产负债管理报告报送要求的通知）《保险资产负债管理监管规则第2号：财产保险公司资产负债管理量化评估规则》附件1-1-2.资金运用规模，详细资产内容请根据文中定义。使用全价口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3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自用性不动产账面价值</w:t>
            </w:r>
          </w:p>
        </w:tc>
        <w:tc>
          <w:tcPr>
            <w:tcW w:w="180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ZYXBDCZMJZ</w:t>
            </w:r>
          </w:p>
        </w:tc>
        <w:tc>
          <w:tcPr>
            <w:tcW w:w="82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10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0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自用性不动产的划分标准依据银保监办发〔2019〕98号（中国银保监会办公厅关于明确保险资产负债管理报告报送要求的通知）《保险资产负债管理监管规则第2号：财产保险公司资产负债管理量化评估规则》附件1-1-2.资金运用规模，详细资产内容请根据文中定义。使用全价口径。</w:t>
            </w:r>
          </w:p>
        </w:tc>
      </w:tr>
    </w:tbl>
    <w:p>
      <w:pPr>
        <w:pStyle w:val="44"/>
        <w:spacing w:line="560" w:lineRule="exact"/>
        <w:rPr>
          <w:rFonts w:ascii="Calibri" w:hAnsi="Calibri"/>
          <w:szCs w:val="22"/>
        </w:rPr>
      </w:pPr>
    </w:p>
    <w:p>
      <w:pPr>
        <w:pStyle w:val="6"/>
        <w:numPr>
          <w:ilvl w:val="0"/>
          <w:numId w:val="4"/>
        </w:numPr>
        <w:ind w:firstLine="600"/>
      </w:pPr>
      <w:r>
        <w:rPr>
          <w:rFonts w:hint="eastAsia"/>
        </w:rPr>
        <w:t>自主投资账户持仓明细表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1423"/>
        <w:gridCol w:w="837"/>
        <w:gridCol w:w="713"/>
        <w:gridCol w:w="713"/>
        <w:gridCol w:w="3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1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2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552"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ZZTZZHCCMXB</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自主投资账户持仓明细表</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2102</w:t>
            </w:r>
          </w:p>
        </w:tc>
        <w:tc>
          <w:tcPr>
            <w:tcW w:w="4552"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本表报送财产保险公司作为保险资金和自有资金投资管理人，存在对保险资金和自有资金做自主投资业务，报送投资账户持有的金融资产的明细信息。要求填报人民币金额。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61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2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3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1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1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2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账户编号</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ZHBH</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保险公司系统中记录的进行投资的账户编号。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账户类型</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ZHLX</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021002</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根据账户内资金来源划分账户的类型，填报中文说明。包括：</w:t>
            </w:r>
            <w:r>
              <w:rPr>
                <w:rFonts w:hint="eastAsia" w:ascii="宋体" w:hAnsi="宋体" w:cs="宋体"/>
                <w:color w:val="000000"/>
                <w:kern w:val="0"/>
                <w:szCs w:val="21"/>
              </w:rPr>
              <w:br w:type="textWrapping"/>
            </w:r>
            <w:r>
              <w:rPr>
                <w:rFonts w:hint="eastAsia" w:ascii="宋体" w:hAnsi="宋体" w:cs="宋体"/>
                <w:color w:val="000000"/>
                <w:kern w:val="0"/>
                <w:szCs w:val="21"/>
              </w:rPr>
              <w:t>传统保险账户</w:t>
            </w:r>
            <w:r>
              <w:rPr>
                <w:rFonts w:hint="eastAsia" w:ascii="宋体" w:hAnsi="宋体" w:cs="宋体"/>
                <w:color w:val="000000"/>
                <w:kern w:val="0"/>
                <w:szCs w:val="21"/>
              </w:rPr>
              <w:br w:type="textWrapping"/>
            </w:r>
            <w:r>
              <w:rPr>
                <w:rFonts w:hint="eastAsia" w:ascii="宋体" w:hAnsi="宋体" w:cs="宋体"/>
                <w:color w:val="000000"/>
                <w:kern w:val="0"/>
                <w:szCs w:val="21"/>
              </w:rPr>
              <w:t>资本补充债和次级债账户</w:t>
            </w:r>
            <w:r>
              <w:rPr>
                <w:rFonts w:hint="eastAsia" w:ascii="宋体" w:hAnsi="宋体" w:cs="宋体"/>
                <w:color w:val="000000"/>
                <w:kern w:val="0"/>
                <w:szCs w:val="21"/>
              </w:rPr>
              <w:br w:type="textWrapping"/>
            </w:r>
            <w:r>
              <w:rPr>
                <w:rFonts w:hint="eastAsia" w:ascii="宋体" w:hAnsi="宋体" w:cs="宋体"/>
                <w:color w:val="000000"/>
                <w:kern w:val="0"/>
                <w:szCs w:val="21"/>
              </w:rPr>
              <w:t>预定收益型投资保险产品</w:t>
            </w:r>
            <w:r>
              <w:rPr>
                <w:rFonts w:hint="eastAsia" w:ascii="宋体" w:hAnsi="宋体" w:cs="宋体"/>
                <w:color w:val="000000"/>
                <w:kern w:val="0"/>
                <w:szCs w:val="21"/>
              </w:rPr>
              <w:br w:type="textWrapping"/>
            </w:r>
            <w:r>
              <w:rPr>
                <w:rFonts w:hint="eastAsia" w:ascii="宋体" w:hAnsi="宋体" w:cs="宋体"/>
                <w:color w:val="000000"/>
                <w:kern w:val="0"/>
                <w:szCs w:val="21"/>
              </w:rPr>
              <w:t>非预定收益型投资保险产品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投资产品编号</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TZCPBH</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产品为标准化的证券产品时，代码使用市场上的公开代码，例如财汇、wind的代码，若市场上没有公开代码，但公司网站上有编码，则取此代码，网站上若无，则使用各公司内部的自定义代码，如不动产的资产编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投资产品名称</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TZCPMC</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产品为标准化的证券产品时，名称使用市场上的公开名称，例如财汇、wind的名称，若市场上没有公开名称，但公司网站上有名称，则取此名称，网站上若无，则使用各公司内部的自定义名称，如不动产的资产名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产品交易市场类型</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CPJYSCLX</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021003</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产品交易市场，非标产品、定期存款等产品的交易市场对应为场外市场，对应《业务代码表》中的“产品交易市场类型”，填报中文描述。例如：场外交易市场、上海证券交易所等。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资金运用资产类型</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ZJYYZCLX</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021004</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参照银保监办发〔2019〕98号（中国银保监会办公厅关于明确保险资产负债管理报告报送要求的通知）《保险资产负债管理监管规则第2号：财产保险公司资产负债管理量化评估规则》附件1-1-2.资金运用规模，对应《业务代码表》中的“资金运用资产类型”，填报最末层级中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份额</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FE</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当前资产的份额，若为标准化产品且计算份额时填写，无此定义可为空。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成本</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当前资产的成本金额（净价），单位：元。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市值</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SZ</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2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若为标准产品时，填写当前的市场价值（全价），若为非标准化产品时，填写其账面金额（含息）。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61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估值日期</w:t>
            </w:r>
          </w:p>
        </w:tc>
        <w:tc>
          <w:tcPr>
            <w:tcW w:w="142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GZRQ</w:t>
            </w:r>
          </w:p>
        </w:tc>
        <w:tc>
          <w:tcPr>
            <w:tcW w:w="83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1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26"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内部估值系统进行估值统计的日期，对于定期存款等没有估值日期的产品，填报统计日期。</w:t>
            </w:r>
          </w:p>
        </w:tc>
      </w:tr>
    </w:tbl>
    <w:p>
      <w:pPr>
        <w:pStyle w:val="44"/>
        <w:spacing w:line="560" w:lineRule="exact"/>
        <w:rPr>
          <w:rFonts w:ascii="Calibri" w:hAnsi="Calibri"/>
          <w:szCs w:val="22"/>
        </w:rPr>
      </w:pPr>
    </w:p>
    <w:p>
      <w:pPr>
        <w:pStyle w:val="6"/>
        <w:numPr>
          <w:ilvl w:val="0"/>
          <w:numId w:val="4"/>
        </w:numPr>
        <w:ind w:firstLine="600"/>
      </w:pPr>
      <w:r>
        <w:rPr>
          <w:rFonts w:hint="eastAsia"/>
        </w:rPr>
        <w:t>自主投资交易流水表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ZZTZJYLSB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自主投资交易流水表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2103</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本表报送财产保险公司作为保险资金和自有资金投资管理人，存在对保险资金和自有资金做自主投资业务，报送投资账户在每日交易时产生的交易流水信息。要求填报人民币金额。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交易编号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识别交易的唯一编号，可为交易系统生成的编号或自定义的编号，确保唯一性。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账户编号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ZHBH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保险公司系统中记录的进行投资的账户编号。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账户名称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ZHMC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保险公司系统中记录的进行投资的账户名称。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投资产品编号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TZCPBH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产品为标准化的证券产品时，代码使用市场上的公开代码，例如财汇、wind的代码，若市场上没有公开代码，但公司网站上有编码，则取此代码，网站上若无，则使用各公司内部的自定义代码，如不动产的资产编号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投资产品名称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TZCPMC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产品为标准化的证券产品时，名称使用市场上的公开名称，例如财汇、wind的名称，若市场上没有公开名称，但公司网站上有名称，则取此名称，网站上若无，则使用各公司内部的自定义名称，如不动产的资产名称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产品交易市场类型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CPJYSCLX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021003</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产品交易市场，非标产品的市场对应为场外市场，对应《业务代码表》中的“产品交易市场类型”，填报中文描述。例如：场外交易市场、上海证券交易所等。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资金运用资产类型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ZJYYZCLX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021004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参照银保监办发〔2019〕98号（中国银保监会办公厅关于明确保险资产负债管理报告报送要求的通知）《保险资产负债管理监管规则第2号：财产保险公司资产负债管理量化评估规则》附件1-1-2.资金运用规模，对应《业务代码表》中的“资金运用资产类型”，填报最末层级中文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确认日期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QRRQ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资产确认的日期。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交易方向</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JYFX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021005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资产的交易方向，填报中文描述。包括：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借（余额增）</w:t>
            </w:r>
            <w:r>
              <w:rPr>
                <w:rFonts w:hint="eastAsia" w:ascii="宋体" w:hAnsi="宋体" w:cs="宋体"/>
                <w:color w:val="000000"/>
                <w:kern w:val="0"/>
                <w:szCs w:val="21"/>
              </w:rPr>
              <w:br w:type="textWrapping"/>
            </w:r>
            <w:r>
              <w:rPr>
                <w:rFonts w:hint="eastAsia" w:ascii="宋体" w:hAnsi="宋体" w:cs="宋体"/>
                <w:color w:val="000000"/>
                <w:kern w:val="0"/>
                <w:szCs w:val="21"/>
              </w:rPr>
              <w:t>贷（余额减）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交易数量</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JYSL</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买卖资产的数量，不存在等额份额的产品可为空。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成交金额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买卖资产的成交金额，单位：元。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实收结算金额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SSJSJE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资产最终实收的结算金额，单位：元。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成本价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CBJ</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标准化产品时为单价（净价），非标产品可为空，单位：元。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交易费用</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JYFY</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资产买卖产生的费用汇总，包括佣金、过户费、结算费、申购赎回费，交易费、手续费等。</w:t>
            </w:r>
          </w:p>
        </w:tc>
      </w:tr>
    </w:tbl>
    <w:p>
      <w:pPr>
        <w:pStyle w:val="44"/>
        <w:spacing w:line="560" w:lineRule="exact"/>
        <w:rPr>
          <w:rFonts w:ascii="Calibri" w:hAnsi="Calibri"/>
          <w:szCs w:val="22"/>
        </w:rPr>
      </w:pPr>
    </w:p>
    <w:p>
      <w:pPr>
        <w:pStyle w:val="6"/>
        <w:numPr>
          <w:ilvl w:val="0"/>
          <w:numId w:val="4"/>
        </w:numPr>
        <w:ind w:firstLine="600"/>
      </w:pPr>
      <w:r>
        <w:rPr>
          <w:rFonts w:hint="eastAsia"/>
        </w:rPr>
        <w:t>委托投资情况汇总表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2047"/>
        <w:gridCol w:w="810"/>
        <w:gridCol w:w="670"/>
        <w:gridCol w:w="670"/>
        <w:gridCol w:w="28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5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204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1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214"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WTTZQKHZB</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委托投资情况汇总表</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2104</w:t>
            </w:r>
          </w:p>
        </w:tc>
        <w:tc>
          <w:tcPr>
            <w:tcW w:w="4214"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本表报送财产保险公司签订所有的委托投资合同相关的信息。本表填报的数据为基于委托投资协议进行的投资信息。要求填报人民币金额。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5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204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1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7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7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87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委托投资合同号</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WTTZHTH</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委托投资管理合同号码。如有公司内部合同编号则填报公司内部合同编号。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签订日期</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QDRQ</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委托投资合同签订日期。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委托投资管理合同期限</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WTTZGLHTQX</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委托投资管理合同期限，单位为年，无期限报送“999999”。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投管人机构名称</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TOUGRJGMC</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委托投资管理机构名称。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投管人机构证件类型</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TOUGRJGZJLX</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投管机构的证件类型，优先填报统一社会信用代码。对应《业务代码表》中的“机构证件类型”，填报中文描述。例如：统一社会信用代码、组织机构代码证等。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投管人证件号码</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TOUGRZJHM</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投管人的证件号码。若为自然人证件号码，隐私，财产保险公司变形。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投管人全球法人机构识别编码</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TOUGRQQFJGRSBBH</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003011</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LEI是按照国际标准化组织ISO 17442标准为全球法人分配的唯一识别编码，LEI编码是由20位数字和字母组成的唯一编码。我国LEI编码包括前缀码部分、预留位部分、机构特定部分和校验位四部分。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委托投资管理费率</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WTTZGLFL</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委托投资管理费用收取标准。如有公式请列出并加以说明。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统计日期</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TJRQ</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进行数据统计的当日。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委托投资管理总规模</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WTTZGLZGM</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本委托投资管理合同委托投资资产总规模。使用全价口径。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账面价值</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ZMJZ</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需参照银保监办发〔2019〕98号（中国银保监会办公厅关于明确保险资产负债管理报告报送要求的通知）《保险资产负债管理监管规则第2号：财产保险公司资产负债管理量化评估规则》报送资金账面价值。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现金及流动性管理工具账面价值</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XJJLDXGLGJZMJZ</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现金及流动性管理工具类资产的划分标准依据银保监办发〔2019〕98号（中国银保监会办公厅关于明确保险资产负债管理报告报送要求的通知）《保险资产负债管理监管规则第2号：财产保险公司资产负债管理量化评估规则》附件1-1-2.资金运用规模，详细资产内容请根据文中定义。使用全价口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固定收益类投资资产账面价值</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GDSYLTZZCZMJZ</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固定收益类投资资产的划分标准依据银保监办发〔2019〕98号（中国银保监会办公厅关于明确保险资产负债管理报告报送要求的通知）《保险资产负债管理监管规则第2号：财产保险公司资产负债管理量化评估规则》附件1-1-2.资金运用规模，详细资产内容请根据文中定义。使用全价口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权益类投资资产账面价值</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QYLTZZCZMJZ</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权益类投资资产的划分标准依据银保监办发〔2019〕98号（中国银保监会办公厅关于明确保险资产负债管理报告报送要求的通知）《保险资产负债管理监管规则第2号：财产保险公司资产负债管理量化评估规则》附件1-1-2.资金运用规模，详细资产内容请根据文中定义。使用全价口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投资性房地产账面价值</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TZXFDCZMJZ</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性房地产的划分标准依据银保监办发〔2019〕98号（中国银保监会办公厅关于明确保险资产负债管理报告报送要求的通知）《保险资产负债管理监管规则第2号：财产保险公司资产负债管理量化评估规则》附件1-1-2.资金运用规模，详细资产内容请根据文中定义。使用全价口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贷款账面价值</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DKZMJZ</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贷款的划分标准依据银保监办发〔2019〕98号（中国银保监会办公厅关于明确保险资产负债管理报告报送要求的通知）《保险资产负债管理监管规则第2号：财产保险公司资产负债管理量化评估规则》附件1-1-2.资金运用规模，详细资产内容请根据文中定义。使用全价口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金融衍生工具账面价值</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JRYSGJZMJZ</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金融衍生工具的划分标准依据银保监办发〔2019〕98号（中国银保监会办公厅关于明确保险资产负债管理报告报送要求的通知）《保险资产负债管理监管规则第2号：财产保险公司资产负债管理量化评估规则》附件1-1-2.资金运用规模，详细资产内容请根据文中定义。使用全价口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35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自用性不动产账面价值</w:t>
            </w:r>
          </w:p>
        </w:tc>
        <w:tc>
          <w:tcPr>
            <w:tcW w:w="204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ZYXBDCZMJZ</w:t>
            </w:r>
          </w:p>
        </w:tc>
        <w:tc>
          <w:tcPr>
            <w:tcW w:w="81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7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874"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自用性不动产的划分标准依据银保监办发〔2019〕98号（中国银保监会办公厅关于明确保险资产负债管理报告报送要求的通知）《保险资产负债管理监管规则第2号：财产保险公司资产负债管理量化评估规则》附件1-1-2.资金运用规模，详细资产内容请根据文中定义。使用全价口径。</w:t>
            </w:r>
          </w:p>
        </w:tc>
      </w:tr>
    </w:tbl>
    <w:p>
      <w:pPr>
        <w:pStyle w:val="44"/>
        <w:spacing w:line="560" w:lineRule="exact"/>
        <w:rPr>
          <w:szCs w:val="22"/>
        </w:rPr>
      </w:pPr>
    </w:p>
    <w:p>
      <w:pPr>
        <w:pStyle w:val="4"/>
      </w:pPr>
      <w:bookmarkStart w:id="79" w:name="_Toc3132"/>
      <w:bookmarkStart w:id="80" w:name="_Toc499293105"/>
      <w:r>
        <w:rPr>
          <w:rFonts w:hint="eastAsia"/>
        </w:rPr>
        <w:t>关联交易信息</w:t>
      </w:r>
      <w:bookmarkEnd w:id="79"/>
      <w:bookmarkEnd w:id="80"/>
    </w:p>
    <w:p>
      <w:pPr>
        <w:pStyle w:val="51"/>
        <w:numPr>
          <w:ilvl w:val="0"/>
          <w:numId w:val="27"/>
        </w:numPr>
      </w:pPr>
      <w:r>
        <w:rPr>
          <w:rFonts w:hint="eastAsia"/>
        </w:rPr>
        <w:t>关联方信息表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0"/>
        <w:gridCol w:w="1391"/>
        <w:gridCol w:w="846"/>
        <w:gridCol w:w="1050"/>
        <w:gridCol w:w="701"/>
        <w:gridCol w:w="3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3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802"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GLFXXB</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关联方信息表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2201</w:t>
            </w:r>
          </w:p>
        </w:tc>
        <w:tc>
          <w:tcPr>
            <w:tcW w:w="4802"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本表报送法人或其他组织关联方基础信息。根据《保险公司关联交易管理办法》银保监发〔</w:t>
            </w:r>
            <w:r>
              <w:rPr>
                <w:rFonts w:ascii="宋体" w:hAnsi="宋体" w:cs="宋体"/>
                <w:color w:val="000000"/>
                <w:kern w:val="0"/>
                <w:szCs w:val="21"/>
              </w:rPr>
              <w:t>2019〕35号，保险公司应按照实质重于形式的原则自行认定关联方进行报送。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9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39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105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51"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关联方编号</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GLFBH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公司内唯一识别该关联方的编号。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关联方名称</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GLFMC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关联方的名称。自然人姓名为隐私，财产保险公司变形，名称保留最后一个字或字母。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境内外性质</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JNWXZ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022007</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关联方是境内还是境外自然人或机构，填报中文描述。包括：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境内</w:t>
            </w:r>
            <w:r>
              <w:rPr>
                <w:rFonts w:hint="eastAsia" w:ascii="宋体" w:hAnsi="宋体" w:cs="宋体"/>
                <w:color w:val="000000"/>
                <w:kern w:val="0"/>
                <w:szCs w:val="21"/>
              </w:rPr>
              <w:br w:type="textWrapping"/>
            </w:r>
            <w:r>
              <w:rPr>
                <w:rFonts w:hint="eastAsia" w:ascii="宋体" w:hAnsi="宋体" w:cs="宋体"/>
                <w:color w:val="000000"/>
                <w:kern w:val="0"/>
                <w:szCs w:val="21"/>
              </w:rPr>
              <w:t>境外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关联方类别</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GLFLB</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003012</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关联方类别，填报中文描述。包括：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自然人</w:t>
            </w:r>
            <w:r>
              <w:rPr>
                <w:rFonts w:hint="eastAsia" w:ascii="宋体" w:hAnsi="宋体" w:cs="宋体"/>
                <w:color w:val="000000"/>
                <w:kern w:val="0"/>
                <w:szCs w:val="21"/>
              </w:rPr>
              <w:br w:type="textWrapping"/>
            </w:r>
            <w:r>
              <w:rPr>
                <w:rFonts w:hint="eastAsia" w:ascii="宋体" w:hAnsi="宋体" w:cs="宋体"/>
                <w:color w:val="000000"/>
                <w:kern w:val="0"/>
                <w:szCs w:val="21"/>
              </w:rPr>
              <w:t>法人或其他组织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机构证件类型</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JGZJLX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001034</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关联方为非自然人时，填写机构证件类型。对应《业务代码表》中的“机构证件类型”，填报中文描述。例如：统一社会信用代码、组织机构代码证等。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个人证件类型</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GRZJLX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003006</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关联方为自然人时，填写个人证件类型，对应《业务代码表》中的“个人身份证件类型”，填报中文描述。例如：居民身份证、护照等。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关联方识别码</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GLFSBM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境内法人或其他组织填写统一社会信用代码；境外法人或其他组织填写企业注册码、税务号等有效代码，如果无法获取，可填写填报机构自行编制代码（自行编制代码与填报关联自行编制代码为报送机构的9位组织机构代码+1位关联方类型代码+4位顺序号，其中1位关联方类型代码应填写”1”,代表关联方/关联方中间节点类型位法人或其他组织）；境内自然人填写合法身份证件的号码（隐私，财产保险公司变形）。境外自然人，填写护照号（隐私，财产保险公司变形），如无法获取，则填写填报机构自行编制号码（自行编制代码为报送机构的9位组织机构代码+1位关联方类型代码+4位顺序号，其中1位关联方类型代码应填写”2”,代表关联方/关联方中间节点类型为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有效标志</w:t>
            </w:r>
          </w:p>
        </w:tc>
        <w:tc>
          <w:tcPr>
            <w:tcW w:w="139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YXBZ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105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1"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51"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关联方是否有效标志，填报中文描述：是，否。</w:t>
            </w:r>
          </w:p>
        </w:tc>
      </w:tr>
    </w:tbl>
    <w:p>
      <w:pPr>
        <w:pStyle w:val="44"/>
        <w:spacing w:line="560" w:lineRule="exact"/>
        <w:rPr>
          <w:rFonts w:ascii="Calibri" w:hAnsi="Calibri"/>
          <w:szCs w:val="22"/>
        </w:rPr>
      </w:pPr>
    </w:p>
    <w:p>
      <w:pPr>
        <w:pStyle w:val="6"/>
        <w:numPr>
          <w:ilvl w:val="0"/>
          <w:numId w:val="4"/>
        </w:numPr>
        <w:ind w:firstLine="600"/>
      </w:pPr>
      <w:r>
        <w:rPr>
          <w:rFonts w:hint="eastAsia"/>
        </w:rPr>
        <w:t>金融产品信息表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4"/>
        <w:gridCol w:w="1743"/>
        <w:gridCol w:w="828"/>
        <w:gridCol w:w="702"/>
        <w:gridCol w:w="702"/>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9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7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2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464"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JRCPXXB</w:t>
            </w:r>
          </w:p>
        </w:tc>
        <w:tc>
          <w:tcPr>
            <w:tcW w:w="17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金融产品信息表</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2202</w:t>
            </w:r>
          </w:p>
        </w:tc>
        <w:tc>
          <w:tcPr>
            <w:tcW w:w="4464"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逐笔报送在关联方认定或关联交易中涉及的金融产品，以便向上识别产品的最终投资者，向下识别产品的底层资产。金融产品相关信息根据关联方信息表、关联关系表、关联交易明细表、关联交易汇总表等报送所需进行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39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7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2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0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0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06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7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7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7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7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金融产品名称</w:t>
            </w:r>
          </w:p>
        </w:tc>
        <w:tc>
          <w:tcPr>
            <w:tcW w:w="17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JRCPMC</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金融产品在批准、注册或备案后的产品名称。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3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金融产品批准/注册/备案号</w:t>
            </w:r>
          </w:p>
        </w:tc>
        <w:tc>
          <w:tcPr>
            <w:tcW w:w="17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JRCPPZ_ZC_BAH</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产品批准、注册或备案机构配发的核准编号。如产品报送时产品批准、注册或备案号尚未公布，则填写产品管理人的内部编号，待后续产品批准、注册或备案号公布后及时更新。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金融产品代码</w:t>
            </w:r>
          </w:p>
        </w:tc>
        <w:tc>
          <w:tcPr>
            <w:tcW w:w="17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JRCPDM</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由产品登记机构配发的产品代码。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金融产品分类</w:t>
            </w:r>
          </w:p>
        </w:tc>
        <w:tc>
          <w:tcPr>
            <w:tcW w:w="17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JRCPFL</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022005</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金融产品分类的，对应《业务代码表》中的“金融产品分类”，填报中文描述。例如：证券投资基金、企业年金等。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3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金融产品登记机构</w:t>
            </w:r>
          </w:p>
        </w:tc>
        <w:tc>
          <w:tcPr>
            <w:tcW w:w="17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JRCPDJJG</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为金融产品信息及份额信息等提供登记、托管等服务的机构名称。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金融产品管理人全称</w:t>
            </w:r>
          </w:p>
        </w:tc>
        <w:tc>
          <w:tcPr>
            <w:tcW w:w="17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JRCPGLRQC</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发起金融产品设立、募集，并提供后续管理的金融机构名称。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管理人统一社会信用代码</w:t>
            </w:r>
          </w:p>
        </w:tc>
        <w:tc>
          <w:tcPr>
            <w:tcW w:w="17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GLRTYSHXYDM</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0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金融产品管理人的统一社会信用代码。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金融产品托管人全称</w:t>
            </w:r>
          </w:p>
        </w:tc>
        <w:tc>
          <w:tcPr>
            <w:tcW w:w="17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JRCPTGRQC</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负责本金融产品托管业务的金融机构名称。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39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托管人统一社会信用代码</w:t>
            </w:r>
          </w:p>
        </w:tc>
        <w:tc>
          <w:tcPr>
            <w:tcW w:w="1743"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TGRTYSHXYDM</w:t>
            </w:r>
          </w:p>
        </w:tc>
        <w:tc>
          <w:tcPr>
            <w:tcW w:w="82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0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060"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金融产品托管人的统一社会信用代码。</w:t>
            </w:r>
          </w:p>
        </w:tc>
      </w:tr>
    </w:tbl>
    <w:p>
      <w:pPr>
        <w:pStyle w:val="44"/>
        <w:spacing w:line="560" w:lineRule="exact"/>
        <w:rPr>
          <w:rFonts w:ascii="Calibri" w:hAnsi="Calibri"/>
          <w:szCs w:val="22"/>
        </w:rPr>
      </w:pPr>
    </w:p>
    <w:p>
      <w:pPr>
        <w:pStyle w:val="6"/>
        <w:numPr>
          <w:ilvl w:val="0"/>
          <w:numId w:val="4"/>
        </w:numPr>
        <w:ind w:firstLine="600"/>
      </w:pPr>
      <w:r>
        <w:rPr>
          <w:rFonts w:hint="eastAsia"/>
        </w:rPr>
        <w:t>关联关系表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2360"/>
        <w:gridCol w:w="808"/>
        <w:gridCol w:w="644"/>
        <w:gridCol w:w="644"/>
        <w:gridCol w:w="2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25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236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007"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GLGXB</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关联关系表</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2203</w:t>
            </w:r>
          </w:p>
        </w:tc>
        <w:tc>
          <w:tcPr>
            <w:tcW w:w="4007"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关联方关联关系，出于关联方穿透管理的需要，通过金融产品持股或施加重大影响形成的关联方，将相应金融产品作为关联方中间节点进行报送。数据报送以填报机构为最前一层关联方逐步向后扩展；两个关联方之间同一关联关系填报时，仅填报一个方向即可；自然人股东的近亲属持有或控制填报机构股份，持有或控制的股份应与自然人股东持有或控制填报机构股份分别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25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236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0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64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71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关联方名称/关联方中间节点名称</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GLFMC_GLFZJJDMC</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关联方名称填写法人或其他组织的名称、自然人姓名。关联方中间节点名称填写金融产品名称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关联方代码/关联方中间节点代码</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GLFDM_GLFZJJDDM</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关联方代码法人或其他组织的统一社会信用代码等有效代码、自然人对应证件类型的证件号码。关联方中间节点代码填写金融产品的批准、注册/备案号。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关联方/关联方中间节点类型</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GLF_GLFZJJDLX</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022003</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关联方/关联方中间节点类型代码，填报中文描述。包括：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法人或其他组织</w:t>
            </w:r>
            <w:r>
              <w:rPr>
                <w:rFonts w:hint="eastAsia" w:ascii="宋体" w:hAnsi="宋体" w:cs="宋体"/>
                <w:color w:val="000000"/>
                <w:kern w:val="0"/>
                <w:szCs w:val="21"/>
              </w:rPr>
              <w:br w:type="textWrapping"/>
            </w:r>
            <w:r>
              <w:rPr>
                <w:rFonts w:hint="eastAsia" w:ascii="宋体" w:hAnsi="宋体" w:cs="宋体"/>
                <w:color w:val="000000"/>
                <w:kern w:val="0"/>
                <w:szCs w:val="21"/>
              </w:rPr>
              <w:t>自然人</w:t>
            </w:r>
            <w:r>
              <w:rPr>
                <w:rFonts w:hint="eastAsia" w:ascii="宋体" w:hAnsi="宋体" w:cs="宋体"/>
                <w:color w:val="000000"/>
                <w:kern w:val="0"/>
                <w:szCs w:val="21"/>
              </w:rPr>
              <w:br w:type="textWrapping"/>
            </w:r>
            <w:r>
              <w:rPr>
                <w:rFonts w:hint="eastAsia" w:ascii="宋体" w:hAnsi="宋体" w:cs="宋体"/>
                <w:color w:val="000000"/>
                <w:kern w:val="0"/>
                <w:szCs w:val="21"/>
              </w:rPr>
              <w:t xml:space="preserve">金融产品等其他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前一层关联方名称/关联方中间节点名称</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QYCGLFMC_GLFZJJDMC</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填写前一层法人或其他组织的法人名称、自然人姓名、金融产品的产品全称。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前一层关联方代码/关联方中间节点代码</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QYCGLFDM_GLFZJJDDM</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填写法人或其他组织的统一社会信用代码等有效代码、自然人的证件号码、金融产品的批准、注册/备案号。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前一层关联方/关联方中间节点类型</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QYCGLF_GLFZJJDLX</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022003</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前一层关联方/关联方中间节点类型代码，填报中文描述。包括：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法人或其他组织</w:t>
            </w:r>
            <w:r>
              <w:rPr>
                <w:rFonts w:hint="eastAsia" w:ascii="宋体" w:hAnsi="宋体" w:cs="宋体"/>
                <w:color w:val="000000"/>
                <w:kern w:val="0"/>
                <w:szCs w:val="21"/>
              </w:rPr>
              <w:br w:type="textWrapping"/>
            </w:r>
            <w:r>
              <w:rPr>
                <w:rFonts w:hint="eastAsia" w:ascii="宋体" w:hAnsi="宋体" w:cs="宋体"/>
                <w:color w:val="000000"/>
                <w:kern w:val="0"/>
                <w:szCs w:val="21"/>
              </w:rPr>
              <w:t>自然人</w:t>
            </w:r>
            <w:r>
              <w:rPr>
                <w:rFonts w:hint="eastAsia" w:ascii="宋体" w:hAnsi="宋体" w:cs="宋体"/>
                <w:color w:val="000000"/>
                <w:kern w:val="0"/>
                <w:szCs w:val="21"/>
              </w:rPr>
              <w:br w:type="textWrapping"/>
            </w:r>
            <w:r>
              <w:rPr>
                <w:rFonts w:hint="eastAsia" w:ascii="宋体" w:hAnsi="宋体" w:cs="宋体"/>
                <w:color w:val="000000"/>
                <w:kern w:val="0"/>
                <w:szCs w:val="21"/>
              </w:rPr>
              <w:t xml:space="preserve">金融产品等其他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与前一层的关联关系</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YQYCDGLGX</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022001</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与前一层的关联关系，对应《业务代码表》中的“关联关系类型”，填报中文描述。例如：被前一层共同控制、被前一层共同施加重大影响等。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与前一层之间是否有权益份额</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YQYCZJSFYQYFE</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022004</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与前一层之间是否有权益份额，填报中文描述。包括：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是，对前一层持有</w:t>
            </w:r>
            <w:r>
              <w:rPr>
                <w:rFonts w:hint="eastAsia" w:ascii="宋体" w:hAnsi="宋体" w:cs="宋体"/>
                <w:color w:val="000000"/>
                <w:kern w:val="0"/>
                <w:szCs w:val="21"/>
              </w:rPr>
              <w:br w:type="textWrapping"/>
            </w:r>
            <w:r>
              <w:rPr>
                <w:rFonts w:hint="eastAsia" w:ascii="宋体" w:hAnsi="宋体" w:cs="宋体"/>
                <w:color w:val="000000"/>
                <w:kern w:val="0"/>
                <w:szCs w:val="21"/>
              </w:rPr>
              <w:t>是，被前一层持有</w:t>
            </w:r>
            <w:r>
              <w:rPr>
                <w:rFonts w:hint="eastAsia" w:ascii="宋体" w:hAnsi="宋体" w:cs="宋体"/>
                <w:color w:val="000000"/>
                <w:kern w:val="0"/>
                <w:szCs w:val="21"/>
              </w:rPr>
              <w:br w:type="textWrapping"/>
            </w:r>
            <w:r>
              <w:rPr>
                <w:rFonts w:hint="eastAsia" w:ascii="宋体" w:hAnsi="宋体" w:cs="宋体"/>
                <w:color w:val="000000"/>
                <w:kern w:val="0"/>
                <w:szCs w:val="21"/>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持有比例</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CYBL</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001050</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与前一层之间是否有权益份额为1或2时，持有比例为必填。持有或被前一层关联方持有权益份额的比例。保留4位小数。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质押股权比例</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ZYGQBL</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001050</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当填报机构为前一层关联方时，关联方持有前一层关联方的质押股权数量占持有的股权总量的比例，保留4位小数。与前一层之间是否有权益份额为1或2时，质押股权比例为必填。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关联关系说明</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GLGXSM</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形成关联关系的原因说明。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关系有效标志</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GXYXBZ</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该关联关系是否有效的标志。填报中文描述：是，否。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生效日期</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SXRQ</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该关联关系生效的时间。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失效日期</w:t>
            </w:r>
          </w:p>
        </w:tc>
        <w:tc>
          <w:tcPr>
            <w:tcW w:w="236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SXRQ1</w:t>
            </w:r>
          </w:p>
        </w:tc>
        <w:tc>
          <w:tcPr>
            <w:tcW w:w="808"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64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71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该关联关系失效的时间。当“关系有效标志”为“否”时，必填。</w:t>
            </w:r>
          </w:p>
        </w:tc>
      </w:tr>
    </w:tbl>
    <w:p>
      <w:pPr>
        <w:pStyle w:val="44"/>
        <w:spacing w:line="560" w:lineRule="exact"/>
        <w:rPr>
          <w:rFonts w:ascii="Calibri" w:hAnsi="Calibri"/>
          <w:szCs w:val="22"/>
        </w:rPr>
      </w:pPr>
    </w:p>
    <w:p>
      <w:pPr>
        <w:pStyle w:val="6"/>
        <w:numPr>
          <w:ilvl w:val="0"/>
          <w:numId w:val="4"/>
        </w:numPr>
        <w:ind w:firstLine="600"/>
      </w:pPr>
      <w:r>
        <w:rPr>
          <w:rFonts w:hint="eastAsia"/>
        </w:rPr>
        <w:t>重大关联交易明细表</w:t>
      </w:r>
    </w:p>
    <w:tbl>
      <w:tblPr>
        <w:tblStyle w:val="28"/>
        <w:tblW w:w="842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2"/>
        <w:gridCol w:w="2824"/>
        <w:gridCol w:w="777"/>
        <w:gridCol w:w="654"/>
        <w:gridCol w:w="579"/>
        <w:gridCol w:w="2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25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282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77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3576"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ZDGLJYMXB</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重大关联交易明细表</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2204</w:t>
            </w:r>
          </w:p>
        </w:tc>
        <w:tc>
          <w:tcPr>
            <w:tcW w:w="3576"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本部分单笔关联交易主要填报《保险公司关联交易管理办法》中认定的重大关联交易：</w:t>
            </w:r>
            <w:r>
              <w:rPr>
                <w:rFonts w:ascii="宋体" w:hAnsi="宋体" w:cs="宋体"/>
                <w:color w:val="000000"/>
                <w:kern w:val="0"/>
                <w:szCs w:val="21"/>
              </w:rPr>
              <w:br w:type="textWrapping"/>
            </w:r>
            <w:r>
              <w:rPr>
                <w:rFonts w:ascii="宋体" w:hAnsi="宋体" w:cs="宋体"/>
                <w:color w:val="000000"/>
                <w:kern w:val="0"/>
                <w:szCs w:val="21"/>
              </w:rPr>
              <w:t>指保险公司或其控股子公司与一个关联方之间单笔或年度累计交易金额达到3000万元以上，且占保险公司上一年度末经审计的净资产的1%以上的交易；</w:t>
            </w:r>
            <w:r>
              <w:rPr>
                <w:rFonts w:ascii="宋体" w:hAnsi="宋体" w:cs="宋体"/>
                <w:color w:val="000000"/>
                <w:kern w:val="0"/>
                <w:szCs w:val="21"/>
              </w:rPr>
              <w:br w:type="textWrapping"/>
            </w:r>
            <w:r>
              <w:rPr>
                <w:rFonts w:ascii="宋体" w:hAnsi="宋体" w:cs="宋体"/>
                <w:color w:val="000000"/>
                <w:kern w:val="0"/>
                <w:szCs w:val="21"/>
              </w:rPr>
              <w:t>统一交易协议的签署、续签和实质性变更，以及下列关联交易也应逐笔报送：</w:t>
            </w:r>
            <w:r>
              <w:rPr>
                <w:rFonts w:ascii="宋体" w:hAnsi="宋体" w:cs="宋体"/>
                <w:color w:val="000000"/>
                <w:kern w:val="0"/>
                <w:szCs w:val="21"/>
              </w:rPr>
              <w:br w:type="textWrapping"/>
            </w:r>
            <w:r>
              <w:rPr>
                <w:rFonts w:ascii="宋体" w:hAnsi="宋体" w:cs="宋体"/>
                <w:color w:val="000000"/>
                <w:kern w:val="0"/>
                <w:szCs w:val="21"/>
              </w:rPr>
              <w:t>（1）同一自然人同时担任保险公司和其他法人的独立董事且不存在其他构成关联方情形的，该法人与保险公司进行的交易；</w:t>
            </w:r>
            <w:r>
              <w:rPr>
                <w:rFonts w:ascii="宋体" w:hAnsi="宋体" w:cs="宋体"/>
                <w:color w:val="000000"/>
                <w:kern w:val="0"/>
                <w:szCs w:val="21"/>
              </w:rPr>
              <w:br w:type="textWrapping"/>
            </w:r>
            <w:r>
              <w:rPr>
                <w:rFonts w:ascii="宋体" w:hAnsi="宋体" w:cs="宋体"/>
                <w:color w:val="000000"/>
                <w:kern w:val="0"/>
                <w:szCs w:val="21"/>
              </w:rPr>
              <w:t>（2）交易的定价为国家规定的；</w:t>
            </w:r>
            <w:r>
              <w:rPr>
                <w:rFonts w:ascii="宋体" w:hAnsi="宋体" w:cs="宋体"/>
                <w:color w:val="000000"/>
                <w:kern w:val="0"/>
                <w:szCs w:val="21"/>
              </w:rPr>
              <w:br w:type="textWrapping"/>
            </w:r>
            <w:r>
              <w:rPr>
                <w:rFonts w:ascii="宋体" w:hAnsi="宋体" w:cs="宋体"/>
                <w:color w:val="000000"/>
                <w:kern w:val="0"/>
                <w:szCs w:val="21"/>
              </w:rPr>
              <w:t>（3）银保监会规定的其他情形。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252"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282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777"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654"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579"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2343"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关联方编号</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GLFBH</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公司内唯一识别该关联方的编号。关联数据项：关联方信息表-关联方编号。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关联方名称</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GLFMC</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关联方的名称。自然人姓名为隐私，财产保险公司变形，名称保留最后一个字或字母。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关联方识别码</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GLFSBM</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003005</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境内法人或其他组织填写统一社会信用代码；境外法人或其他组织填写企业注册码、税务号等有效代码，如果无法获取，可填写填报机构自行编制代码（自行编制代码与填报关联自行编制代码为报送机构的9位组织机构代码+1位关联方类型代码+4位顺序号，其中1位关联方类型代码应填写”1”,代表关联方/关联方中间节点类型位法人或其他组织）；境内自然人填写合法身份证件的号码（隐私，财产保险公司变形）。境外自然人，填写护照号（隐私，财产保险公司变形），如无法获取，则填写填报机构自行编制号码（自行编制代码为报送机构的9位组织机构代码+1位关联方类型代码+4位顺序号，其中1位关联方类型代码应填写”2”,代表关联方/关联方中间节点类型为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关联方类别</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GLFLB</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003012</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关联方类别，填报中文描述。包括：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自然人</w:t>
            </w:r>
            <w:r>
              <w:rPr>
                <w:rFonts w:hint="eastAsia" w:ascii="宋体" w:hAnsi="宋体" w:cs="宋体"/>
                <w:color w:val="000000"/>
                <w:kern w:val="0"/>
                <w:szCs w:val="21"/>
              </w:rPr>
              <w:br w:type="textWrapping"/>
            </w:r>
            <w:r>
              <w:rPr>
                <w:rFonts w:hint="eastAsia" w:ascii="宋体" w:hAnsi="宋体" w:cs="宋体"/>
                <w:color w:val="000000"/>
                <w:kern w:val="0"/>
                <w:szCs w:val="21"/>
              </w:rPr>
              <w:t>法人或其他组织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交易编号</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JYBH</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系统内用以区分每笔关联交易的编号，具有唯一性。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交易标的</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JYBD</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与关联方之间关联交易的对象。对于资金运用类：如为存款，为存款具体类型。如投资关联方股权，为投资股权比例以及最终持股比例。如投资关联方发行的金融产品，为金融产品的相关信息。如投资基础资产包括关联方资产的金融产品，需说明金融产品情况。如与关联方共同投资，为被投资企业的具体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统一交易协议标志</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TYJYXYBZ</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是否为统一交易协议。填报中文描述：是，否。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合同编号</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HTBH</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与关联方签署的交易协议或合同的内部编号。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合同签订日期</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HTQDRQ</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关联交易协议签署的日期。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业务起始日期</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YWQSRQ</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关联交易发生的起始日期。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业务结束日期</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YWJSRQ</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关联交易发生的结束日期。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关联交易业务类型</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GLJYYWLX</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022002</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对应《业务代码表》中的“关联交易业务类型”，填报中文描述。例如：投资入股类-新设入股或增资，资金运用类-股权，利益转移类-出售资产等。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关联交易金额</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GLJYJE</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001049</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关联交易的发生金额。单位：万元，保留6位小数。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达到重大关联交易的情形</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DDZDGLJYDQX</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022008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达到重大关联交易的情形，填报中文描述。包括：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单笔达到</w:t>
            </w:r>
            <w:r>
              <w:rPr>
                <w:rFonts w:hint="eastAsia" w:ascii="宋体" w:hAnsi="宋体" w:cs="宋体"/>
                <w:color w:val="000000"/>
                <w:kern w:val="0"/>
                <w:szCs w:val="21"/>
              </w:rPr>
              <w:br w:type="textWrapping"/>
            </w:r>
            <w:r>
              <w:rPr>
                <w:rFonts w:hint="eastAsia" w:ascii="宋体" w:hAnsi="宋体" w:cs="宋体"/>
                <w:color w:val="000000"/>
                <w:kern w:val="0"/>
                <w:szCs w:val="21"/>
              </w:rPr>
              <w:t>累计达到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本年度与该关联方发生关联交易累计金额</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BNDYGGLFFSGLJYLJJE</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001049</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除单笔达到重大关联交易及统一交易协议外，本年度与该关联方发生的累计交易金额，包括本笔交易金额在内。当“达到重大关联交易的情形”为“累计达到”时，必填。单位：万元，保留6位小数。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关联交易价格</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GLJYJG</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投资入股类：投资入股、减资、收购合并时为每股价格。投资填报机构发行的优先股、债券或其他证券等金融工具时的每股/张/份的价格等。</w:t>
            </w:r>
            <w:r>
              <w:rPr>
                <w:rFonts w:hint="eastAsia" w:ascii="宋体" w:hAnsi="宋体" w:cs="宋体"/>
                <w:color w:val="000000"/>
                <w:kern w:val="0"/>
                <w:szCs w:val="21"/>
              </w:rPr>
              <w:br w:type="textWrapping"/>
            </w:r>
            <w:r>
              <w:rPr>
                <w:rFonts w:hint="eastAsia" w:ascii="宋体" w:hAnsi="宋体" w:cs="宋体"/>
                <w:color w:val="000000"/>
                <w:kern w:val="0"/>
                <w:szCs w:val="21"/>
              </w:rPr>
              <w:t>资金运用类：银行存款为存款利率；投资关联方的股权、不动产或其他资产为资产单价；投资关联方发行的金融产品且不涉及其他关联方时，为发行费率或产品管费率；投资底层资产为关联方的金融产品，为产品预期收益率。与关联方共同投资为共同投资标的的价格。</w:t>
            </w:r>
            <w:r>
              <w:rPr>
                <w:rFonts w:hint="eastAsia" w:ascii="宋体" w:hAnsi="宋体" w:cs="宋体"/>
                <w:color w:val="000000"/>
                <w:kern w:val="0"/>
                <w:szCs w:val="21"/>
              </w:rPr>
              <w:br w:type="textWrapping"/>
            </w:r>
            <w:r>
              <w:rPr>
                <w:rFonts w:hint="eastAsia" w:ascii="宋体" w:hAnsi="宋体" w:cs="宋体"/>
                <w:color w:val="000000"/>
                <w:kern w:val="0"/>
                <w:szCs w:val="21"/>
              </w:rPr>
              <w:t>利益转移类：指交易的单价。</w:t>
            </w:r>
            <w:r>
              <w:rPr>
                <w:rFonts w:hint="eastAsia" w:ascii="宋体" w:hAnsi="宋体" w:cs="宋体"/>
                <w:color w:val="000000"/>
                <w:kern w:val="0"/>
                <w:szCs w:val="21"/>
              </w:rPr>
              <w:br w:type="textWrapping"/>
            </w:r>
            <w:r>
              <w:rPr>
                <w:rFonts w:hint="eastAsia" w:ascii="宋体" w:hAnsi="宋体" w:cs="宋体"/>
                <w:color w:val="000000"/>
                <w:kern w:val="0"/>
                <w:szCs w:val="21"/>
              </w:rPr>
              <w:t>保险业务类：委托或受托资产管理，填写委托资产管理费率或受托资产管理费率；保险代理业务，填写保险代理业务佣金比例。</w:t>
            </w:r>
            <w:r>
              <w:rPr>
                <w:rFonts w:hint="eastAsia" w:ascii="宋体" w:hAnsi="宋体" w:cs="宋体"/>
                <w:color w:val="000000"/>
                <w:kern w:val="0"/>
                <w:szCs w:val="21"/>
              </w:rPr>
              <w:br w:type="textWrapping"/>
            </w:r>
            <w:r>
              <w:rPr>
                <w:rFonts w:hint="eastAsia" w:ascii="宋体" w:hAnsi="宋体" w:cs="宋体"/>
                <w:color w:val="000000"/>
                <w:kern w:val="0"/>
                <w:szCs w:val="21"/>
              </w:rPr>
              <w:t>提供货物或服务类：提供或接受货物的单价。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定价政策</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DJZC</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交易对价的确定原则及定价方法。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对财务状况及经营成果的影响</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DCWZKJJYCGDYX</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对填报机构财务状况及经营成果影响的描述。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证券类型</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ZQLX</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关联交易业务类型为“投资入股类-保险公司发行的优先股、债券、或其他证券”时，必填。证券类型，填报中文描述。包括：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优先股</w:t>
            </w:r>
            <w:r>
              <w:rPr>
                <w:rFonts w:hint="eastAsia" w:ascii="宋体" w:hAnsi="宋体" w:cs="宋体"/>
                <w:color w:val="000000"/>
                <w:kern w:val="0"/>
                <w:szCs w:val="21"/>
              </w:rPr>
              <w:br w:type="textWrapping"/>
            </w:r>
            <w:r>
              <w:rPr>
                <w:rFonts w:hint="eastAsia" w:ascii="宋体" w:hAnsi="宋体" w:cs="宋体"/>
                <w:color w:val="000000"/>
                <w:kern w:val="0"/>
                <w:szCs w:val="21"/>
              </w:rPr>
              <w:t>债券</w:t>
            </w:r>
            <w:r>
              <w:rPr>
                <w:rFonts w:hint="eastAsia" w:ascii="宋体" w:hAnsi="宋体" w:cs="宋体"/>
                <w:color w:val="000000"/>
                <w:kern w:val="0"/>
                <w:szCs w:val="21"/>
              </w:rPr>
              <w:br w:type="textWrapping"/>
            </w:r>
            <w:r>
              <w:rPr>
                <w:rFonts w:hint="eastAsia" w:ascii="宋体" w:hAnsi="宋体" w:cs="宋体"/>
                <w:color w:val="000000"/>
                <w:kern w:val="0"/>
                <w:szCs w:val="21"/>
              </w:rPr>
              <w:t>其他证券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收益率</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SYL</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001050</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投资该填报机构发行的优先股、债券或其他证券等金融工具时的收益率等，保留4位小数。关联交易业务类型为“投资入股类”时，必填。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交易数量</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JYSL</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001006</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投资入股、减资、收购合并时为股份数。投资填报机构发行的优先股、债券或其他证券等金融工具时的股/张/份的数量。关联交易业务类型为“投资入股类”时，必填。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变动股比或份额占比</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BDGBHFEZB</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001050</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入股类交易的交易股份比例或份额占比。当业务类型为减资时，该字段填写减少的股份比例。如减少的股份比例为5%，则填写-5.00。填写%前的数字，保留4位小数。关联交易业务类型为“投资入股类”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变动后股比或份额占比</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BDHGBHFEZB</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001050</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投资入股类交易后的股份比例或份额占比。填写%前的数字，保留4位小数。关联交易业务类型为“投资入股类时”，必填。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生效日期</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SXRQ</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投资入股类交易的生效日期。关联交易业务类型为“投资入股类”时，必填。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行政审批文号</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XZSPWH</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监管部门的行政许可批复文号。关联交易业务类型为“投资入股类-新设入股或增资、减资、收购合并”时，必填。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被投资企业情况</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BTZQYQK</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被投资企业的基本情况，营业范围，财务状况和盈利模式。当关联交易业务类型为“资金运用类-股权”时，必填。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前次交易价格</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QCJYJG</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投资关联方的股权、不动产或其他资产的前次资产交易价格。当关联交易业务类型为“资金运用类-股权、不动产类，利益转移类-出售资产、租赁资产”时，必填。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前次交易日期</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QCJYRQ</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填报机构与关联方之间出售资产、租赁资产的前次交易时间。当关联交易业务类型为“利益转移类-出售资产”时，必填。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投资方式</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TZFS</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022006</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当关联交易业务类型为“资金运用类-不动产”时，必填。资金运用类投资方式，填报中文描述。包括：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直接投资</w:t>
            </w:r>
            <w:r>
              <w:rPr>
                <w:rFonts w:hint="eastAsia" w:ascii="宋体" w:hAnsi="宋体" w:cs="宋体"/>
                <w:color w:val="000000"/>
                <w:kern w:val="0"/>
                <w:szCs w:val="21"/>
              </w:rPr>
              <w:br w:type="textWrapping"/>
            </w:r>
            <w:r>
              <w:rPr>
                <w:rFonts w:hint="eastAsia" w:ascii="宋体" w:hAnsi="宋体" w:cs="宋体"/>
                <w:color w:val="000000"/>
                <w:kern w:val="0"/>
                <w:szCs w:val="21"/>
              </w:rPr>
              <w:t>间接投资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股权比例</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GQBL</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001050</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投资不动产类交易时的股权占比。填写%前的数字，保留小数点后4位。当关联交易业务类型为“资金运用类-不动产”时，必填。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金融产品名称</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JRCPMC</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填报机构投资的关联方发行的金融产品或投资基础资产涉及关联方资产的金融产品。当关联交易业务类型为“资金运用类-金融产品”时，必填。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产品批准/注册/备案号</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CPPZ_ZC_BAH</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产品批准、注册或备案机构配发的核准编号。如产品报送时产品批准、注册或备案号尚未公布，则填写产品管理人的内部编号，待后续产品批准、注册或备案号公布后及时更新。当关联交易业务类型为“资金运用类-金融产品”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金融产品发行规模</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JRCPFXGM</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金融产品设立时的募集规模。当关联交易业务类型为“资金运用类-金融产品”时，必填。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投资金融产品份额占比</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TZJRCPFEZB</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001051</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投资金融产品份额占比。填写%前的数字，保留小数点后2位。当关联交易业务类型为“资金运用类-金融产品”时，必填。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底层资产涉及关联方标志</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DCZCSJGLFBZ</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底层资产是否涉及关联方。填报中文描述：是，否。当关联交易业务类型为“资金运用类-金融产品”时，必填。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底层基础资产涉及控股股东或控股股东的关联方标志</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DCJCZCSJKGGDHKGGDDGLFBZ</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底层基础资产是否涉及控股股东或控股股东的关联方。填报中文描述：是，否。当关联交易业务类型为“资金运用类-金融产品”时，必填。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底层资产具体描述</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DCZCJTMS</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简要描述底层资产的具体情况或投向。当关联交易业务类型为“资金运用类-金融产品”时，必填。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底层资产涉及的关联方名称</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DCZCSJDGLFMC</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底层资产如涉及关联方，需说明关联方名称。当关联交易业务类型为“资金运用类-金融产品”时，必填。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被投企业名称</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BTQYMC</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与关联方共同投资企业的企业名称。当关联交易业务类型为“资金运用类-与关联方共同投资”时，必填。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业务模式</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YWMS</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与关联方共同投资企业的业务模式简要描述。当关联交易业务类型为“资金运用类-与关联方共同投资”时，必填。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盈利预期</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YLYQ</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与关联方共同投资企业的盈利预期的简要描述。当关联交易业务类型为“资金运用类-与关联方共同投资”时，必填。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投资比例</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TZBL</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001050</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与关联方共同投资时，填报机构的投资占比。填写%前的数字，保留4位小数。当关联交易业务类型为“资金运用类-与关联方共同投资”时，必填。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投资收益分配情况</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TZSYFPQK</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与关联方共同投资时，与关联方投资收益的分配情况。当关联交易业务类型为“资金运用类-与关联方共同投资”时，必填。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损失分担情况</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SSFDQK</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与关联方共同投资时，与关联方损失分担情况。当关联交易业务类型为“资金运用类-与关联方共同投资”时，必填。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标的资产情况</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BDZCQK</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填报机构与关联方之间发生关联交易的标的或其资产情况。当关联交易业务类型为“利益转移类”时，必填。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标的情况</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BDQK</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报机构与关联方之间权利转让、担保、债权转移、债务转移、签订许可协议等标的情况。当“关联交易业务类型”为“利益转移类-权利转让、利益转移类-担保、利益转移类-债权转移、利益转移类-债务转移、利益转移类-签订许可协议；资金运用类-不动产、资金运用类-银行存款”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担保条件</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DBTJ</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填报机构与关联方之间提供担保时的担保条件。当关联交易业务类型为“利益转移类-担保”时，必填。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控股子公司交易标志</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KGZGSJYBZ</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是否为控股子公司交易。保险公司控股子公司与保险公司的关联方发生的关联交易，按照保险公司的关联交易进行管理，但控股子公司为上市公司或已受行业监管的金融机构的除外。填报中文描述：是，否。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控股子公司全称</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KGZGSQC</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控股子公司的全称。当“控股子公司交易标志”为是时，必填。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控股子公司证件号码</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KGZGSZJHM</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控股子公司的统一社会信用代码。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252"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其他说明事项</w:t>
            </w:r>
          </w:p>
        </w:tc>
        <w:tc>
          <w:tcPr>
            <w:tcW w:w="282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QTSMSX</w:t>
            </w:r>
          </w:p>
        </w:tc>
        <w:tc>
          <w:tcPr>
            <w:tcW w:w="777"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001018</w:t>
            </w:r>
          </w:p>
        </w:tc>
        <w:tc>
          <w:tcPr>
            <w:tcW w:w="654"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579"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2343"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除上述关键信息以外，其他需说明的重要或特殊事项。</w:t>
            </w:r>
          </w:p>
        </w:tc>
      </w:tr>
    </w:tbl>
    <w:p>
      <w:pPr>
        <w:pStyle w:val="44"/>
        <w:spacing w:line="560" w:lineRule="exact"/>
        <w:rPr>
          <w:rFonts w:ascii="Calibri" w:hAnsi="Calibri"/>
          <w:szCs w:val="22"/>
        </w:rPr>
      </w:pPr>
    </w:p>
    <w:p>
      <w:pPr>
        <w:pStyle w:val="6"/>
        <w:numPr>
          <w:ilvl w:val="0"/>
          <w:numId w:val="4"/>
        </w:numPr>
        <w:ind w:firstLine="600"/>
      </w:pPr>
      <w:r>
        <w:rPr>
          <w:rFonts w:hint="eastAsia"/>
        </w:rPr>
        <w:t>关联交易汇总表</w:t>
      </w:r>
    </w:p>
    <w:tbl>
      <w:tblPr>
        <w:tblStyle w:val="28"/>
        <w:tblW w:w="8334"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GLJYHZB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关联交易汇总表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2205</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本表报送所有关联交易汇总信息。同一关联方有多种关联交易类型的，分别报送。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关联方编号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GLFBH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公司内唯一识别该关联方的编号。关联数据项：关联方信息表-关联方编号。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关联方名称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GLFMC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关联方的名称。自然人姓名为隐私，财产保险公司变形，名称保留最后一个字或字母。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关联交易业务类型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GLJYYWLX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022002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对应《业务代码表》中的“关联交易业务类型”，填报中文描述。例如：投资入股类，资金运用类，利益转移类等。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关联交易金额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GLJYJE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本月与该关联方关联交易累计金额，单位：万元（人民币）。</w:t>
            </w:r>
          </w:p>
        </w:tc>
      </w:tr>
    </w:tbl>
    <w:p>
      <w:pPr>
        <w:pStyle w:val="44"/>
        <w:spacing w:line="560" w:lineRule="exact"/>
        <w:rPr>
          <w:szCs w:val="22"/>
        </w:rPr>
      </w:pPr>
    </w:p>
    <w:p>
      <w:pPr>
        <w:pStyle w:val="4"/>
      </w:pPr>
      <w:bookmarkStart w:id="81" w:name="_Toc1400606906"/>
      <w:bookmarkStart w:id="82" w:name="_Toc18628"/>
      <w:r>
        <w:rPr>
          <w:rFonts w:hint="eastAsia"/>
        </w:rPr>
        <w:t>意外健康险专项信息</w:t>
      </w:r>
      <w:bookmarkEnd w:id="81"/>
      <w:bookmarkEnd w:id="82"/>
    </w:p>
    <w:p>
      <w:pPr>
        <w:pStyle w:val="51"/>
        <w:numPr>
          <w:ilvl w:val="0"/>
          <w:numId w:val="28"/>
        </w:numPr>
      </w:pPr>
      <w:r>
        <w:rPr>
          <w:rFonts w:hint="eastAsia"/>
        </w:rPr>
        <w:t>意健险赔案扩展信息表</w:t>
      </w:r>
    </w:p>
    <w:tbl>
      <w:tblPr>
        <w:tblStyle w:val="28"/>
        <w:tblW w:w="8389"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5"/>
        <w:gridCol w:w="1440"/>
        <w:gridCol w:w="846"/>
        <w:gridCol w:w="720"/>
        <w:gridCol w:w="720"/>
        <w:gridCol w:w="3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9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表名</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表中文名</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表编号</w:t>
            </w:r>
          </w:p>
        </w:tc>
        <w:tc>
          <w:tcPr>
            <w:tcW w:w="4608" w:type="dxa"/>
            <w:gridSpan w:val="3"/>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YJXPAKZXXB</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意健险赔案扩展信息表</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2301</w:t>
            </w:r>
          </w:p>
        </w:tc>
        <w:tc>
          <w:tcPr>
            <w:tcW w:w="4608" w:type="dxa"/>
            <w:gridSpan w:val="3"/>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本表报送意外伤害保险和健康保险的赔案扩展信息。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495"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数据项名称</w:t>
            </w:r>
          </w:p>
        </w:tc>
        <w:tc>
          <w:tcPr>
            <w:tcW w:w="144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数据项代码</w:t>
            </w:r>
          </w:p>
        </w:tc>
        <w:tc>
          <w:tcPr>
            <w:tcW w:w="846"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数据元编码</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是否主键</w:t>
            </w:r>
          </w:p>
        </w:tc>
        <w:tc>
          <w:tcPr>
            <w:tcW w:w="720"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是否可空</w:t>
            </w:r>
          </w:p>
        </w:tc>
        <w:tc>
          <w:tcPr>
            <w:tcW w:w="3168" w:type="dxa"/>
            <w:shd w:val="clear" w:color="auto" w:fill="auto"/>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数据项说明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流水号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LSH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001046</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保险机构代码+日期（YYYYMMDD）+10位流水，流水号是每天的流水号，每天都是从‘0000000001’开始。其中日期为上报数据时当前的系统日期。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保险机构代码</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BXJGDM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001044</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保险行业保险公司总保险机构代码，是银行保险监督管理机构分配的机构编号，对应《业务代码表》中的“保险机构代码”。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保险机构名称</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BXJGMC</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001045</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保险行业保险公司总保险机构名称，需与《业务代码表》中的“保险机构代码”对应公司名称保持一致。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采集日期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CJRQ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指该期（批次）数据报送的期末日期，例如：按日采集的表，采集日期应为每日；按月采集的表，采集日期应为月末最后一天；以此类推。有特殊报送要求的，应以报送要求的截至日期为采集日期。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保单编号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BDBH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又称保单号，是保险人在签发保单时按照公司自有编制规则印制在保单凭证上的编号。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赔案编号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PABH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又称赔案号，是保险公司对赔案按一定规则生成的编号。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出险人客户编号</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CXRKHBH</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001017</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出险人客户在保险公司的唯一标识，需要保险公司提前对客户数据进行合并后报送。关联数据项：个人客户信息表-客户编号。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出险人姓名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CXRXM</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003001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出险人的姓名。隐私，财产保险公司变形。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死亡标志</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001019</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出险人是否死亡的标志。填报中文描述：是，否。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死亡日期</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SWRQ</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出险人的死亡日期，死亡标志为“是”时，必填。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75"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死亡原因</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SWYY</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023002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出险人死亡原因，死亡标志为“是”时，必填。填报中文描述，包括：</w:t>
            </w:r>
            <w:r>
              <w:rPr>
                <w:rFonts w:hint="eastAsia" w:ascii="宋体" w:hAnsi="宋体" w:cs="宋体"/>
                <w:color w:val="000000"/>
                <w:kern w:val="0"/>
                <w:szCs w:val="21"/>
              </w:rPr>
              <w:br w:type="textWrapping"/>
            </w:r>
            <w:r>
              <w:rPr>
                <w:rFonts w:hint="eastAsia" w:ascii="宋体" w:hAnsi="宋体" w:cs="宋体"/>
                <w:color w:val="000000"/>
                <w:kern w:val="0"/>
                <w:szCs w:val="21"/>
              </w:rPr>
              <w:t>疾病</w:t>
            </w:r>
            <w:r>
              <w:rPr>
                <w:rFonts w:hint="eastAsia" w:ascii="宋体" w:hAnsi="宋体" w:cs="宋体"/>
                <w:color w:val="000000"/>
                <w:kern w:val="0"/>
                <w:szCs w:val="21"/>
              </w:rPr>
              <w:br w:type="textWrapping"/>
            </w:r>
            <w:r>
              <w:rPr>
                <w:rFonts w:hint="eastAsia" w:ascii="宋体" w:hAnsi="宋体" w:cs="宋体"/>
                <w:color w:val="000000"/>
                <w:kern w:val="0"/>
                <w:szCs w:val="21"/>
              </w:rPr>
              <w:t>意外</w:t>
            </w:r>
            <w:r>
              <w:rPr>
                <w:rFonts w:hint="eastAsia" w:ascii="宋体" w:hAnsi="宋体" w:cs="宋体"/>
                <w:color w:val="000000"/>
                <w:kern w:val="0"/>
                <w:szCs w:val="21"/>
              </w:rPr>
              <w:br w:type="textWrapping"/>
            </w:r>
            <w:r>
              <w:rPr>
                <w:rFonts w:hint="eastAsia" w:ascii="宋体" w:hAnsi="宋体" w:cs="宋体"/>
                <w:color w:val="000000"/>
                <w:kern w:val="0"/>
                <w:szCs w:val="21"/>
              </w:rPr>
              <w:t>自杀</w:t>
            </w:r>
            <w:r>
              <w:rPr>
                <w:rFonts w:hint="eastAsia" w:ascii="宋体" w:hAnsi="宋体" w:cs="宋体"/>
                <w:color w:val="000000"/>
                <w:kern w:val="0"/>
                <w:szCs w:val="21"/>
              </w:rPr>
              <w:br w:type="textWrapping"/>
            </w:r>
            <w:r>
              <w:rPr>
                <w:rFonts w:hint="eastAsia" w:ascii="宋体" w:hAnsi="宋体" w:cs="宋体"/>
                <w:color w:val="000000"/>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赔付责任类型</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PFZRLX</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023001</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Y</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意外医疗，疾病医疗等赔付责任类型，对应《业务代码表》中的“赔付责任类型”，填报中文描述。例如：意外医疗、意外伤残等。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币种</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BZ</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001012</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理赔费用对应的货币。国际上表示货币和资金的名称，对应《业务代码表》中的“币种”，填报字母。例如：CNY、EUR、JRY等。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责任赔付金额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ZRPFJE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赔案下该项责任类型的赔付金额。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1495"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责任赔付人民币金额</w:t>
            </w:r>
          </w:p>
        </w:tc>
        <w:tc>
          <w:tcPr>
            <w:tcW w:w="144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ZRPFRMBJE</w:t>
            </w:r>
          </w:p>
        </w:tc>
        <w:tc>
          <w:tcPr>
            <w:tcW w:w="846"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001008</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720" w:type="dxa"/>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N</w:t>
            </w:r>
          </w:p>
        </w:tc>
        <w:tc>
          <w:tcPr>
            <w:tcW w:w="3168"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赔案下该项责任类型的赔付金额（人民币）。</w:t>
            </w:r>
          </w:p>
        </w:tc>
      </w:tr>
    </w:tbl>
    <w:p>
      <w:pPr>
        <w:pStyle w:val="44"/>
        <w:spacing w:line="560" w:lineRule="exact"/>
        <w:rPr>
          <w:szCs w:val="22"/>
        </w:rPr>
      </w:pPr>
    </w:p>
    <w:p>
      <w:pPr>
        <w:pStyle w:val="44"/>
        <w:spacing w:line="560" w:lineRule="exact"/>
        <w:rPr>
          <w:szCs w:val="22"/>
        </w:rPr>
      </w:pPr>
    </w:p>
    <w:p>
      <w:pPr>
        <w:pStyle w:val="2"/>
        <w:numPr>
          <w:ilvl w:val="0"/>
          <w:numId w:val="5"/>
        </w:numPr>
        <w:spacing w:before="0" w:beforeLines="0" w:after="0" w:afterLines="0" w:line="560" w:lineRule="exact"/>
      </w:pPr>
      <w:bookmarkStart w:id="83" w:name="_Toc1432014375"/>
      <w:bookmarkStart w:id="84" w:name="_Toc6819"/>
      <w:r>
        <w:rPr>
          <w:rFonts w:hint="eastAsia"/>
        </w:rPr>
        <w:t>数据元</w:t>
      </w:r>
      <w:bookmarkEnd w:id="35"/>
      <w:bookmarkEnd w:id="36"/>
      <w:bookmarkEnd w:id="37"/>
      <w:bookmarkEnd w:id="38"/>
      <w:bookmarkEnd w:id="39"/>
      <w:bookmarkEnd w:id="40"/>
      <w:bookmarkEnd w:id="83"/>
      <w:bookmarkEnd w:id="84"/>
    </w:p>
    <w:p>
      <w:pPr>
        <w:pStyle w:val="3"/>
        <w:numPr>
          <w:ilvl w:val="0"/>
          <w:numId w:val="29"/>
        </w:numPr>
        <w:spacing w:before="0" w:beforeLines="0" w:after="0" w:afterLines="0" w:line="560" w:lineRule="exact"/>
      </w:pPr>
      <w:bookmarkStart w:id="85" w:name="_Toc16271"/>
      <w:bookmarkStart w:id="86" w:name="_Toc4180"/>
      <w:bookmarkStart w:id="87" w:name="_Toc1016368696"/>
      <w:bookmarkStart w:id="88" w:name="_Toc1679"/>
      <w:bookmarkStart w:id="89" w:name="_Toc28276"/>
      <w:bookmarkStart w:id="90" w:name="_Toc19092"/>
      <w:bookmarkStart w:id="91" w:name="_Toc11376"/>
      <w:bookmarkStart w:id="92" w:name="_Toc15885"/>
      <w:r>
        <w:rPr>
          <w:rFonts w:hint="eastAsia"/>
        </w:rPr>
        <w:t>数据元描述规则</w:t>
      </w:r>
      <w:bookmarkEnd w:id="85"/>
      <w:bookmarkEnd w:id="86"/>
      <w:bookmarkEnd w:id="87"/>
      <w:bookmarkEnd w:id="88"/>
      <w:bookmarkEnd w:id="89"/>
      <w:bookmarkEnd w:id="90"/>
      <w:bookmarkEnd w:id="91"/>
      <w:bookmarkEnd w:id="92"/>
    </w:p>
    <w:p>
      <w:pPr>
        <w:pStyle w:val="44"/>
        <w:spacing w:line="560" w:lineRule="exact"/>
      </w:pPr>
      <w:r>
        <w:rPr>
          <w:rFonts w:hint="eastAsia"/>
        </w:rPr>
        <w:t>数据元</w:t>
      </w:r>
      <w:r>
        <w:t>的描述格式如下：</w:t>
      </w:r>
    </w:p>
    <w:p>
      <w:pPr>
        <w:pStyle w:val="44"/>
        <w:numPr>
          <w:ilvl w:val="0"/>
          <w:numId w:val="30"/>
        </w:numPr>
        <w:spacing w:line="560" w:lineRule="exact"/>
        <w:ind w:firstLineChars="0"/>
      </w:pPr>
      <w:r>
        <w:rPr>
          <w:rFonts w:hint="eastAsia"/>
          <w:lang w:eastAsia="zh-Hans"/>
        </w:rPr>
        <w:t>分类：</w:t>
      </w:r>
      <w:r>
        <w:t>数据元所在类目组</w:t>
      </w:r>
      <w:r>
        <w:rPr>
          <w:rFonts w:hint="eastAsia"/>
        </w:rPr>
        <w:t>。</w:t>
      </w:r>
    </w:p>
    <w:p>
      <w:pPr>
        <w:pStyle w:val="44"/>
        <w:numPr>
          <w:ilvl w:val="0"/>
          <w:numId w:val="30"/>
        </w:numPr>
        <w:spacing w:line="560" w:lineRule="exact"/>
        <w:ind w:firstLineChars="0"/>
      </w:pPr>
      <w:r>
        <w:t>编码：该数据项所对应的</w:t>
      </w:r>
      <w:r>
        <w:rPr>
          <w:rFonts w:hint="eastAsia"/>
        </w:rPr>
        <w:t>数据元</w:t>
      </w:r>
      <w:r>
        <w:t>在</w:t>
      </w:r>
      <w:r>
        <w:rPr>
          <w:rFonts w:hint="eastAsia"/>
        </w:rPr>
        <w:t>数据元</w:t>
      </w:r>
      <w:r>
        <w:t>目录中的唯一标识符，采用六位数字来标记；其中第1-3位表示为元素类别号，第4-6位为数据表中经过元素标准化合并后的顺序号，如果某表中出现了之前已经编号的元素则不重复编号。本部分中，第1-3位的表示按如下分类</w:t>
      </w:r>
      <w:r>
        <w:rPr>
          <w:rFonts w:hint="eastAsia"/>
        </w:rPr>
        <w:t>：</w:t>
      </w:r>
    </w:p>
    <w:p>
      <w:pPr>
        <w:pStyle w:val="44"/>
        <w:spacing w:line="560" w:lineRule="exact"/>
      </w:pPr>
      <w:r>
        <w:rPr>
          <w:rFonts w:hint="eastAsia"/>
        </w:rPr>
        <w:t>001-公共信息</w:t>
      </w:r>
    </w:p>
    <w:p>
      <w:pPr>
        <w:pStyle w:val="44"/>
        <w:spacing w:line="560" w:lineRule="exact"/>
      </w:pPr>
      <w:r>
        <w:rPr>
          <w:rFonts w:hint="eastAsia"/>
        </w:rPr>
        <w:t>002-财务信息</w:t>
      </w:r>
    </w:p>
    <w:p>
      <w:pPr>
        <w:pStyle w:val="44"/>
        <w:spacing w:line="560" w:lineRule="exact"/>
      </w:pPr>
      <w:r>
        <w:rPr>
          <w:rFonts w:hint="eastAsia"/>
        </w:rPr>
        <w:t>003-客户信息</w:t>
      </w:r>
    </w:p>
    <w:p>
      <w:pPr>
        <w:pStyle w:val="44"/>
        <w:spacing w:line="560" w:lineRule="exact"/>
      </w:pPr>
      <w:r>
        <w:rPr>
          <w:rFonts w:hint="eastAsia"/>
        </w:rPr>
        <w:t>004-产品信息</w:t>
      </w:r>
    </w:p>
    <w:p>
      <w:pPr>
        <w:pStyle w:val="44"/>
        <w:spacing w:line="560" w:lineRule="exact"/>
      </w:pPr>
      <w:r>
        <w:rPr>
          <w:rFonts w:hint="eastAsia"/>
        </w:rPr>
        <w:t>005-保单基础信息</w:t>
      </w:r>
    </w:p>
    <w:p>
      <w:pPr>
        <w:pStyle w:val="44"/>
        <w:spacing w:line="560" w:lineRule="exact"/>
      </w:pPr>
      <w:r>
        <w:rPr>
          <w:rFonts w:hint="eastAsia"/>
        </w:rPr>
        <w:t>006-收付费信息</w:t>
      </w:r>
    </w:p>
    <w:p>
      <w:pPr>
        <w:pStyle w:val="44"/>
        <w:spacing w:line="560" w:lineRule="exact"/>
      </w:pPr>
      <w:r>
        <w:rPr>
          <w:rFonts w:hint="eastAsia"/>
        </w:rPr>
        <w:t>007-再保信息</w:t>
      </w:r>
    </w:p>
    <w:p>
      <w:pPr>
        <w:pStyle w:val="44"/>
        <w:spacing w:line="560" w:lineRule="exact"/>
      </w:pPr>
      <w:r>
        <w:rPr>
          <w:rFonts w:hint="eastAsia"/>
        </w:rPr>
        <w:t>008-理赔信息</w:t>
      </w:r>
    </w:p>
    <w:p>
      <w:pPr>
        <w:pStyle w:val="44"/>
        <w:spacing w:line="560" w:lineRule="exact"/>
      </w:pPr>
      <w:r>
        <w:rPr>
          <w:rFonts w:hint="eastAsia"/>
        </w:rPr>
        <w:t>009-服务信息</w:t>
      </w:r>
    </w:p>
    <w:p>
      <w:pPr>
        <w:pStyle w:val="44"/>
        <w:spacing w:line="560" w:lineRule="exact"/>
      </w:pPr>
      <w:r>
        <w:rPr>
          <w:rFonts w:hint="eastAsia"/>
        </w:rPr>
        <w:t>010-车险专项信息</w:t>
      </w:r>
    </w:p>
    <w:p>
      <w:pPr>
        <w:pStyle w:val="44"/>
        <w:spacing w:line="560" w:lineRule="exact"/>
      </w:pPr>
      <w:r>
        <w:rPr>
          <w:rFonts w:hint="eastAsia"/>
        </w:rPr>
        <w:t>011-农险专项信息</w:t>
      </w:r>
    </w:p>
    <w:p>
      <w:pPr>
        <w:pStyle w:val="44"/>
        <w:spacing w:line="560" w:lineRule="exact"/>
      </w:pPr>
      <w:r>
        <w:rPr>
          <w:rFonts w:hint="eastAsia"/>
        </w:rPr>
        <w:t>012-家财险专项信息</w:t>
      </w:r>
    </w:p>
    <w:p>
      <w:pPr>
        <w:pStyle w:val="44"/>
        <w:spacing w:line="560" w:lineRule="exact"/>
      </w:pPr>
      <w:r>
        <w:rPr>
          <w:rFonts w:hint="eastAsia"/>
        </w:rPr>
        <w:t>013-企财险专项信息</w:t>
      </w:r>
    </w:p>
    <w:p>
      <w:pPr>
        <w:pStyle w:val="44"/>
        <w:spacing w:line="560" w:lineRule="exact"/>
      </w:pPr>
      <w:r>
        <w:rPr>
          <w:rFonts w:hint="eastAsia"/>
        </w:rPr>
        <w:t>014-责任险专项信息</w:t>
      </w:r>
    </w:p>
    <w:p>
      <w:pPr>
        <w:pStyle w:val="44"/>
        <w:spacing w:line="560" w:lineRule="exact"/>
      </w:pPr>
      <w:r>
        <w:rPr>
          <w:rFonts w:hint="eastAsia"/>
        </w:rPr>
        <w:t>015-信用险专项信息</w:t>
      </w:r>
    </w:p>
    <w:p>
      <w:pPr>
        <w:pStyle w:val="44"/>
        <w:spacing w:line="560" w:lineRule="exact"/>
      </w:pPr>
      <w:r>
        <w:rPr>
          <w:rFonts w:hint="eastAsia"/>
        </w:rPr>
        <w:t>016-保证险专项信息</w:t>
      </w:r>
    </w:p>
    <w:p>
      <w:pPr>
        <w:pStyle w:val="44"/>
        <w:spacing w:line="560" w:lineRule="exact"/>
      </w:pPr>
      <w:r>
        <w:rPr>
          <w:rFonts w:hint="eastAsia"/>
        </w:rPr>
        <w:t>017-货运险专项信息</w:t>
      </w:r>
    </w:p>
    <w:p>
      <w:pPr>
        <w:pStyle w:val="44"/>
        <w:spacing w:line="560" w:lineRule="exact"/>
      </w:pPr>
      <w:r>
        <w:rPr>
          <w:rFonts w:hint="eastAsia"/>
        </w:rPr>
        <w:t>018-船舶险专项信息</w:t>
      </w:r>
    </w:p>
    <w:p>
      <w:pPr>
        <w:pStyle w:val="44"/>
        <w:spacing w:line="560" w:lineRule="exact"/>
      </w:pPr>
      <w:r>
        <w:rPr>
          <w:rFonts w:hint="eastAsia"/>
        </w:rPr>
        <w:t>019-工程险专项信息</w:t>
      </w:r>
    </w:p>
    <w:p>
      <w:pPr>
        <w:pStyle w:val="44"/>
        <w:spacing w:line="560" w:lineRule="exact"/>
      </w:pPr>
      <w:r>
        <w:rPr>
          <w:rFonts w:hint="eastAsia"/>
        </w:rPr>
        <w:t>020-特殊风险专项信息</w:t>
      </w:r>
    </w:p>
    <w:p>
      <w:pPr>
        <w:pStyle w:val="44"/>
        <w:spacing w:line="560" w:lineRule="exact"/>
      </w:pPr>
      <w:r>
        <w:rPr>
          <w:rFonts w:hint="eastAsia"/>
        </w:rPr>
        <w:t>021-投资信息</w:t>
      </w:r>
    </w:p>
    <w:p>
      <w:pPr>
        <w:pStyle w:val="44"/>
        <w:spacing w:line="560" w:lineRule="exact"/>
      </w:pPr>
      <w:r>
        <w:rPr>
          <w:rFonts w:hint="eastAsia"/>
        </w:rPr>
        <w:t>022-关联交易信息</w:t>
      </w:r>
    </w:p>
    <w:p>
      <w:pPr>
        <w:pStyle w:val="44"/>
        <w:spacing w:line="560" w:lineRule="exact"/>
      </w:pPr>
      <w:r>
        <w:rPr>
          <w:rFonts w:hint="eastAsia"/>
        </w:rPr>
        <w:t>023-意外健康险专项信息</w:t>
      </w:r>
    </w:p>
    <w:p>
      <w:pPr>
        <w:pStyle w:val="44"/>
        <w:numPr>
          <w:ilvl w:val="0"/>
          <w:numId w:val="30"/>
        </w:numPr>
        <w:spacing w:line="560" w:lineRule="exact"/>
        <w:ind w:firstLineChars="0"/>
      </w:pPr>
      <w:r>
        <w:rPr>
          <w:rFonts w:hint="eastAsia"/>
          <w:lang w:eastAsia="zh-Hans"/>
        </w:rPr>
        <w:t>名称</w:t>
      </w:r>
      <w:r>
        <w:t>：数据元的中文名称，应按照国家标准GB/T 18391.5 -2001中规定的数据元命名原则进行命名。</w:t>
      </w:r>
    </w:p>
    <w:p>
      <w:pPr>
        <w:pStyle w:val="44"/>
        <w:numPr>
          <w:ilvl w:val="0"/>
          <w:numId w:val="30"/>
        </w:numPr>
        <w:spacing w:line="560" w:lineRule="exact"/>
        <w:ind w:firstLineChars="0"/>
      </w:pPr>
      <w:r>
        <w:t>说明</w:t>
      </w:r>
      <w:r>
        <w:rPr>
          <w:rFonts w:hint="eastAsia"/>
          <w:lang w:eastAsia="zh-Hans"/>
        </w:rPr>
        <w:t>和取值范围</w:t>
      </w:r>
      <w:r>
        <w:t>：数据元的含义描述。</w:t>
      </w:r>
    </w:p>
    <w:p>
      <w:pPr>
        <w:pStyle w:val="44"/>
        <w:numPr>
          <w:ilvl w:val="0"/>
          <w:numId w:val="30"/>
        </w:numPr>
        <w:spacing w:line="560" w:lineRule="exact"/>
        <w:ind w:firstLineChars="0"/>
      </w:pPr>
      <w:r>
        <w:t>格式：数据元值的类型及长度的表示形式，按照GB/T 18142-2000的要求进行规定</w:t>
      </w:r>
      <w:r>
        <w:rPr>
          <w:rFonts w:hint="eastAsia"/>
        </w:rPr>
        <w:t>。</w:t>
      </w:r>
    </w:p>
    <w:p>
      <w:pPr>
        <w:spacing w:line="560" w:lineRule="exact"/>
        <w:ind w:firstLine="200"/>
      </w:pPr>
    </w:p>
    <w:p>
      <w:pPr>
        <w:pStyle w:val="3"/>
        <w:numPr>
          <w:ilvl w:val="0"/>
          <w:numId w:val="29"/>
        </w:numPr>
        <w:spacing w:before="0" w:beforeLines="0" w:after="0" w:afterLines="0" w:line="560" w:lineRule="exact"/>
      </w:pPr>
      <w:bookmarkStart w:id="93" w:name="_Toc11870"/>
      <w:bookmarkStart w:id="94" w:name="_Toc14299"/>
      <w:bookmarkStart w:id="95" w:name="_Toc231"/>
      <w:bookmarkStart w:id="96" w:name="_Toc1023745434"/>
      <w:bookmarkStart w:id="97" w:name="_Toc19776"/>
      <w:bookmarkStart w:id="98" w:name="_Toc897"/>
      <w:bookmarkStart w:id="99" w:name="_Toc13340"/>
      <w:bookmarkStart w:id="100" w:name="_Toc9146"/>
      <w:r>
        <w:rPr>
          <w:rFonts w:hint="eastAsia"/>
        </w:rPr>
        <w:t>数据元细目</w:t>
      </w:r>
      <w:bookmarkEnd w:id="93"/>
      <w:bookmarkEnd w:id="94"/>
      <w:bookmarkEnd w:id="95"/>
      <w:bookmarkEnd w:id="96"/>
      <w:bookmarkEnd w:id="97"/>
      <w:bookmarkEnd w:id="98"/>
      <w:bookmarkEnd w:id="99"/>
      <w:bookmarkEnd w:id="100"/>
    </w:p>
    <w:p>
      <w:pPr>
        <w:pStyle w:val="4"/>
        <w:numPr>
          <w:ilvl w:val="0"/>
          <w:numId w:val="31"/>
        </w:numPr>
      </w:pPr>
      <w:bookmarkStart w:id="101" w:name="_Toc424"/>
      <w:bookmarkStart w:id="102" w:name="_Toc450529474"/>
      <w:r>
        <w:rPr>
          <w:rFonts w:hint="eastAsia"/>
        </w:rPr>
        <w:t>公共信息</w:t>
      </w:r>
      <w:bookmarkEnd w:id="101"/>
      <w:bookmarkEnd w:id="102"/>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091"/>
        <w:gridCol w:w="1095"/>
        <w:gridCol w:w="2771"/>
        <w:gridCol w:w="2614"/>
        <w:gridCol w:w="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091"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095"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1"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4"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905"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001001</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日期</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年月日，格式YYYYMMDD。</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001002</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时间</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年月日时分秒格式YYYYMMDDhhmmss。</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001003</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年月类型</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年月类型，YYYYMM。</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765"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001004</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年份</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时间的年份。</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001005</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期间数</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两个约定事件之间的时间长度。</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I..4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001006</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数量</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人数、份数、重量等可量化数据。</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D18.2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001007</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比例/比率/利率/费率/汇率（六位）</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精度保留到小数点后六位，如0.0001%应填0.000001。</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D22.6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001008</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金额</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默认人民币，单位元。在指定货币代码时，为相应的币种数额。</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D20.4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001009</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数量单位</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描述标的数量时所采用的数学方面或物理方面计量事物的标准量的名称。</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引用《业务代码表》“数量单位”，编号CD000009。</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001010</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面积</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土地或物体的面积。</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D16.2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001011</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经纬度</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它是一种利用三度空间的球面来定义地球上的空间的球面坐标系统，能够标示地球上的任何一个位置。精度为度、分、秒，秒应保持2位小数。</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001012</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币种</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货币和资金的币种代码。例如：人民币、英镑等。</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引用《业务代码表》“币种”，编号CD000001。</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001013</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国别</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事物所属国家的名称。</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引用《业务代码表》“国别”，编号CD000002。</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001014</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地区</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所在省、市/地区、县的名称。</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引用《业务代码表》“县及县以上行政区划”，编号CD000003。</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001015</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地址</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详细地址信息，应包括具体的村镇、街道名称及门牌号码等。如果已有配套地区代码，可省略省、市、区县信息。</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001016</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序号</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顺序号。</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001017</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标识号</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记录相关事件、单据、参与方或实物的唯一标识。</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001018</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描述</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用于说明相关事件、状况的具体内容。</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C..4000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001019</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是否标志</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是否标志位。</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枚举值为“是；否”。</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001020</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电话号码</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固定及移动通讯电话号码。固定电话号码应由“国际长途区号+国内长途区号+电话号码”组成，国内电话可省略国际长途区号。移动通讯设备的号码，一般为手机号码，应由“国家代码”+“电话号码”组成，国内手机号可省略国家代码。</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001021</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电子邮箱</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通过网络为用户提供交流的电子信息空间，既可以为用户提供发送电子邮件的功能，又能自动地为用户接收电子邮件，同时还能对收发的邮件进行存储。</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001022</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监管辖区</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监管机构的辖区代码，包含31个省和5个计划单列市。</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引用《业务代码表》“监管辖区”，编号CD000010。</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001023</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司法管辖</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因保险合同纠纷提起诉讼的地域管辖范围代码。</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枚举值为“中国境内（港、澳、台除外）；中国境内（包含港、澳、台）；世界范围（美、加除外）；世界范围（包含美、加地区）”。</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001024</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争议解决方式</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描述争议解决方式的代码。</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枚举值为“诉讼；仲裁；协商；其他”。</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001025</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 xml:space="preserve"> 股东持股类型</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根据持股比例、资质条件和对保险公司经营管理的影响，根据《保险公司股权管理办法》（保监会令〔2018〕5号 ）保险公司股东分为以下四类： 01-财务Ⅰ类股东，02-财务Ⅱ类股东 ，03-战略类股东 ，04-控制类股东。</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枚举值为“财务Ⅰ类股东；财务Ⅱ类股东 ；战略类股东 ；控制类股东”。</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001026</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股东类型</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按照股东自然人或机构属性。</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枚举值为“自然人；机构股东；境内企业法人；境内有限合伙企业；境内事业单位、社会团体；境外金融机构；其他”。</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001027</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经营状态</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分支机构当前状态。</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引用《业务代码表》“经营状态”，编号CD000013。</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001028</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机构层级</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分支机构的层级。</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枚举值为“总公司；分公司；中心支公司；支公司；营业部或营销服务部；电话销售专属机构；其他专属机构”。</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001029</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管理机构代码</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负责向所属监管辖区银保监局报送数据的机构代码。</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引用《业务代码表》“保险分支机构代码”，编号CD000012。</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001030</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中介机构统一编码</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中介机构在中介监管系统中登记的机构编码即代理或经纪业务经营许可证记载的法人机构编码。</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001031</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中介机构类别</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中介机构经营性质分类。</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引用《业务代码表》“中介机构类别”，编号CD000014。</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001032</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政治面貌</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保险公司人力资源系统存储的员工的政治面貌的文本描述。</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引用《业务代码表》“政治面貌”，编号CD000008。</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001033</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专业技术资格</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员工专业技术资格等级。</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枚举值为“高级技术资格人员；中级技术资格人员；初级技术资格人员；其他”。</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001034</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机构证件类型</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非自然人证件类型描述。</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引用《业务代码表》“机构证件类型”，编号CD000060。</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001035</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董监高标志</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表示是否属于银保监会监管的董事、监事、高管范围。</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枚举值为“员工；董事；监事；高管”。</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001036</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处罚种类</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处罚种类代码。</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枚举值为“罚款；警告；撤销任职资格；司法处理；禁止进入保险业；其他”。</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001037</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银行机构编码</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银行在中国银保监会发布的金融许可证信息中的机构编码。</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引用《业务代码表》“金融许可证机构”，编号CD000015。</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001038</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银行名称</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银行账户所属的银行名称。</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001039</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银行账号</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个人或单位在银行所开账户的账号，如银行卡卡号或存折账号等。</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001040</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银行账户名称</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个人或单位在银行所开账户的名称。</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001041</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统一社会信用代码</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企业的统一社会信用代码，是一组长度为18位的用于法人和其他组织身份识别的代码。</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001042</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纳税人识别号</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纳税人识别号是依据《国家税务总局关于发布纳税人识别号代码标准的通知》：纳税人识别号是纳税人、扣缴义务人被赋予全国唯一的纳税识别代码，该代码是税务机关办理业务，以及进行数据信息内外部交换和共享的基础，在办理相应登记时确定。</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001043</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执业许可证号</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机构获得执业许可的号码。</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001044</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保险机构代码</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保险机构编码是由银行保险监督管理机构分配的机构编号。</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引用《业务代码表》“保险机构代码”，编号CD000011。</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001045</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名称</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用以识别某一个体或群体(人或事物)的专属名词。</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001046</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流水号</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报送数据时系统自动生成的编号。保险机构代码+日期（YYYYMMDD）+10位流水，流水号是每天的流水号，每天都是从‘0000000001’开始。其中日期为上报数据时当前的系统日期。</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001047</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用工性质</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员工的用工性质。</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枚举值为“劳动制；派遣制；代理制”。</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001048</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内部问责种类</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员工内部问责种类，填报中文描述。</w:t>
            </w:r>
          </w:p>
        </w:tc>
        <w:tc>
          <w:tcPr>
            <w:tcW w:w="2614"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枚举值为"降职；解聘；党纪处分；罚款；通报批评；其他”。</w:t>
            </w: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001049</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关联交易金额</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默认人民币，单位万元。在指定货币代码时，为相应的币种数额。</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D22.6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001050</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比例/比率/利率/费率/汇率（四位）</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精度保留到小数点后4位，如0.01%应填0.0001。</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D20.4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091"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001051</w:t>
            </w:r>
          </w:p>
        </w:tc>
        <w:tc>
          <w:tcPr>
            <w:tcW w:w="109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比例/比率/利率/费率/汇率（两位）</w:t>
            </w:r>
          </w:p>
        </w:tc>
        <w:tc>
          <w:tcPr>
            <w:tcW w:w="2771"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精度保留到小数点后2位，如1%应填0.01。</w:t>
            </w:r>
          </w:p>
        </w:tc>
        <w:tc>
          <w:tcPr>
            <w:tcW w:w="2614" w:type="dxa"/>
            <w:vAlign w:val="center"/>
          </w:tcPr>
          <w:p>
            <w:pPr>
              <w:jc w:val="left"/>
              <w:rPr>
                <w:rFonts w:ascii="宋体" w:hAnsi="宋体" w:cs="宋体"/>
                <w:color w:val="000000"/>
                <w:szCs w:val="21"/>
              </w:rPr>
            </w:pPr>
          </w:p>
        </w:tc>
        <w:tc>
          <w:tcPr>
            <w:tcW w:w="905"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D18.2</w:t>
            </w:r>
          </w:p>
        </w:tc>
      </w:tr>
    </w:tbl>
    <w:p/>
    <w:p>
      <w:pPr>
        <w:pStyle w:val="4"/>
      </w:pPr>
      <w:bookmarkStart w:id="103" w:name="_Toc16217"/>
      <w:bookmarkStart w:id="104" w:name="_Toc21530196"/>
      <w:r>
        <w:rPr>
          <w:rFonts w:hint="eastAsia"/>
        </w:rPr>
        <w:t>财务信息</w:t>
      </w:r>
      <w:bookmarkEnd w:id="103"/>
      <w:bookmarkEnd w:id="104"/>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002001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会计科目级次</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总账会计科目在科目结构中所对应的级次。</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枚举值为“1-一级科目；2-二级科目；3-三级科目；4-四级科目；5-五级科目；6-六级科目”。</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I..2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002002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会计科目类型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总账会计科目分类。</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枚举值为“1-资产；2-负债；3-所有者权益；4-损益；5-资产负债共同类；6-表外；7-其他”。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002003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报送周期</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财务报表报送周期，可分为日、月、年。</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枚举值为“2-月报；5-年报”。</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002004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银行账户类型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保险公司银行账户的类型。填报中文描述。例如：活期、基本户等。对应《业务代码表》中的“银行账户类型代码”。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引用《业务代码表》“银行账户类型”，编号CD000016。</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002005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银行账户状态</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保险公司银行账户的目前状态。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枚举值为“未启用；正常；冻结；注销；作废；挂失；其他”。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002006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统计业管费类型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监管统计报送业务管理费划分类型。</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引用《业务代码表》“统计业管费类型”，编号CD000069。</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bl>
    <w:p/>
    <w:p>
      <w:pPr>
        <w:pStyle w:val="4"/>
      </w:pPr>
      <w:bookmarkStart w:id="105" w:name="_Toc1080751476"/>
      <w:bookmarkStart w:id="106" w:name="_Toc23435"/>
      <w:r>
        <w:rPr>
          <w:rFonts w:hint="eastAsia"/>
        </w:rPr>
        <w:t>客户</w:t>
      </w:r>
      <w:r>
        <w:rPr>
          <w:rFonts w:hint="eastAsia"/>
          <w:lang w:eastAsia="zh-Hans"/>
        </w:rPr>
        <w:t>信息</w:t>
      </w:r>
      <w:bookmarkEnd w:id="105"/>
      <w:bookmarkEnd w:id="106"/>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003001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姓名</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应与个人有效证件上的姓名保持一致。</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003002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性别</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描述人的基本生理特征的描述。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枚举值为“未知的性别；男性；女性；未说明的性别”。</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003003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年龄</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人从出生时起到计算时止生存的时间长度，通常用年岁来表示。</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I..3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003004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民族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个人所属民族的描述。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引用《业务代码表》“民族”，编号CD000005。</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003005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证件号码</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证件的号码。</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003006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证件类型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个人证件类型的名称。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引用《业务代码表》“个人身份证件类型”，编号CD000004。</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003007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学历</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最高学历对应的名称。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引用《业务代码表》“学历”，编号CD000006。</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003008</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婚姻状况</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个人的婚姻状况的描述。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枚举值为“未婚；已婚；丧偶；离婚；未说明的婚姻状况”。</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003009</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职业</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以个人所从事工作的行业为基础划分的类别名称。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引用《业务代码表》“职业”，编号CD000007。</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003010</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保险执业证号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个人从事保险销售的执业证号码。</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003011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全球法人机构识别编码</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LEI是按照国际标准化组织ISO 17442标准为全球法人分配的唯一识别编码，LEI编码是由20位数字和字母组成的唯一编码。我国LEI编码包括前缀码部分、预留位部分、机构特定部分和校验位四部分。</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003012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关联方类别</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客户所属的类型代码。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枚举值为“自然人；法人或其他组织”。</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003013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客户属性</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客户属性分类名称，包括投保人、被保人、受益人。</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枚举值为“投保人；被保人；受益人”。</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003014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实名认证方式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个人客户进行实名认证的方式。</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枚举值为“保险实名查验登记系统认证；前置认证；保险机构自主认证”。</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bl>
    <w:p/>
    <w:p>
      <w:pPr>
        <w:pStyle w:val="4"/>
      </w:pPr>
      <w:bookmarkStart w:id="107" w:name="_Toc773370806"/>
      <w:bookmarkStart w:id="108" w:name="_Toc21333"/>
      <w:r>
        <w:rPr>
          <w:rFonts w:hint="eastAsia"/>
        </w:rPr>
        <w:t>产品信息</w:t>
      </w:r>
      <w:bookmarkEnd w:id="107"/>
      <w:bookmarkEnd w:id="108"/>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004001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险类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保险产品大类的代码，对应《业务代码表》中的“险类代码”，按最细粒度（有三级分类上报三级分类）上报。</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引用《业务代码表》“险类”，编号CD000019。</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004002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条款编号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保险公司为条款分配的唯一管理编号。</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004003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条款名称</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公司在监督管理机构报备的条款的中文全称。</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004004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主附险性质</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标识险种是主险或附加险。</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枚举值为“主险；附加险；不区分”。</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004005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财产险产品类型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本条款所属的保险产品的类型代码，按照财产险条款可以给投保人提供的服务内容进行划分，包括普通型、投资型等。储金型也属于投资型。</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枚举值为“普通型；投资型；其他类型”。</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004006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农险产品类型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按照农业保险经营经验及发展趋势，对产品进行的初步分类。</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引用《业务代码表》“农险产品类型”，编号CD000033。</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004007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条款报送类型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指根据保险业监督管理机构的相关规定，财产保险公司保险条款的报送形式和要求。</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枚举值为“审批制；备案制；注册制”。</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004008</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条款注册平台</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条款注册平台是根据保险监管部门要求，相关主体提供给公司进行保险条款注册的系统平台，即中国保险行业协会“财产保险公司备案产品自主注册平台”，和上海航运保险协会“航运保险产品注册管理平台”。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枚举值为“财产保险公司备案产品自主注册平台；航运保险产品注册管理平台”。</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bl>
    <w:p/>
    <w:p>
      <w:pPr>
        <w:pStyle w:val="4"/>
      </w:pPr>
      <w:bookmarkStart w:id="109" w:name="_Toc25158"/>
      <w:bookmarkStart w:id="110" w:name="_Toc1472104798"/>
      <w:r>
        <w:rPr>
          <w:rFonts w:hint="eastAsia"/>
        </w:rPr>
        <w:t>保单基础信息</w:t>
      </w:r>
      <w:bookmarkEnd w:id="109"/>
      <w:bookmarkEnd w:id="110"/>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005001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核保/核批方式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核保/核批方式有自动和人工两种。自动核保/核批能对符合设置条件的投保单/批单做出自动通过和自动退单，如果有非人工介入无法进行的风险判断，需要进行人工核保/核批。</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枚举值为“自动；人工”。</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005002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短期费率方式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保单标的责任上的短期费率计算方式代码。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枚举值为“年；月；日”。</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005003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保单/险种/责任状态</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标识保单、险种、责任在整个保险保障生命周期中的状态信息。</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枚举值为“有效；中止；终止；未生效；其他”。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005004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保单个团性质</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个人或团体的分类代码，常用于投保人、保单、保险产品等方面的分类。</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枚举值为“个人；团体；其他”。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005005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销售渠道类型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保险销售渠道的类型，包括直销业务、代理业务和经纪业务共3大类。</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引用《业务代码表》“销售渠道类型”，编号CD000023。</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005006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联共保类型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保单的联共保类型代码。例如：主共保、从共保、主联保、主共主联等。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引用《业务代码表》“联共保类型”，编号CD000027。</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005007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业务性质</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描述保单的销售渠道是属于直接业务还是代理业务的代码。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枚举值为“直接；中介”。</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005008</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保单终止原因</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保单终止的原因代码，如保单有效期届满、退保、保单迁出等。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引用《业务代码表》“保单终止原因”，编号CD000021。</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005009</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企财险标的类型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企财险标的分类代码，根据“保监发109号发布文件-企财险标的分类标准”，例如：烟煤和无烟煤开采洗选，金属家具制造，谷物磨制等。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引用《业务代码表》“企财险标的类型”，编号CD000059。</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005010</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批改类型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批单的批改类型对应的代码。例如：更改被保险人，更改投保人等。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引用《业务代码表》“批改类型”，编号CD000022。</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bl>
    <w:p/>
    <w:p>
      <w:pPr>
        <w:pStyle w:val="4"/>
      </w:pPr>
      <w:bookmarkStart w:id="111" w:name="_Toc51"/>
      <w:bookmarkStart w:id="112" w:name="_Toc506242899"/>
      <w:r>
        <w:rPr>
          <w:rFonts w:hint="eastAsia"/>
        </w:rPr>
        <w:t>收付费信息</w:t>
      </w:r>
      <w:bookmarkEnd w:id="111"/>
      <w:bookmarkEnd w:id="112"/>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006001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单证类型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各业务阶段中生成的单证的类型代码。如本次收费对应投保阶段，则为投保；如对应承保阶段，则承保。</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枚举值为“投保；承保；批改；理赔；预收；预付”。</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006002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收费类型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收费类型对应的名称。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引用《业务代码表》“收费类型”，编号CD000031。</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006003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付费类型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实际支付费用类型对应的名称。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引用《业务代码表》“付费类型”，编号CD000032。</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006004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收付款方式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收付款方式的分类代码。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引用《业务代码表》“收付款方式”，编号CD000030。</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bl>
    <w:p/>
    <w:p>
      <w:pPr>
        <w:pStyle w:val="4"/>
      </w:pPr>
      <w:bookmarkStart w:id="113" w:name="_Toc94194079"/>
      <w:bookmarkStart w:id="114" w:name="_Toc32026"/>
      <w:r>
        <w:rPr>
          <w:rFonts w:hint="eastAsia"/>
        </w:rPr>
        <w:t>再保信息</w:t>
      </w:r>
      <w:bookmarkEnd w:id="113"/>
      <w:bookmarkEnd w:id="114"/>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007001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再保险合同类型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合同的分类。例如：成数，溢额等。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引用《业务代码表》“再保险合同类型”，编号CD000058。</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007002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再保险合同状态</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合同当前所处的状态。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枚举值为“关门；生效”。</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007003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合同结清方式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再保险分出人与再保险接受人在合同中明确约定合同的结清方式的代码。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枚举值为“自然结清；协议结清；固定年限结清”。</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007004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巨灾</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导致重大损失的自然灾害、疾病传播、恐怖主义袭击或人为事故等的分类。</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引用《业务代码表》“巨灾”，编号CD000056。</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007005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账单状态</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账单是否有效的状态。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枚举值为“有效；无效”。</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007006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结算状态</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账单是否结算的状态。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枚举值为“未结算；已结算”。</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bl>
    <w:p/>
    <w:p>
      <w:pPr>
        <w:pStyle w:val="4"/>
      </w:pPr>
      <w:bookmarkStart w:id="115" w:name="_Toc424437914"/>
      <w:bookmarkStart w:id="116" w:name="_Toc7567"/>
      <w:r>
        <w:rPr>
          <w:rFonts w:hint="eastAsia"/>
        </w:rPr>
        <w:t>理赔信息</w:t>
      </w:r>
      <w:bookmarkEnd w:id="115"/>
      <w:bookmarkEnd w:id="116"/>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008001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立案状态</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报案处理的结果类型。</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枚举值为“已立案；未立案；不予立案”。</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008002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出险原因</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财产险出险的原因。</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引用《业务代码表》“出险原因”，编号CD000055。</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008003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事故处理方式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事故处理方式的代码，例如：自行协商、交管正常处理等。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枚举值为“保险公司处理；自行协商；交管正常处理；交警简易程序处理；其他”。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008004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事故责任划分</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事故责任划分的代码，例如：全部责任、次要责任等。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枚举值为“全部责任；主要责任；同等责任；次要责任；无责任”。</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008005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索赔基础名称</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出险后的理赔方式代码，例如：期内发生式、期内索赔式。</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枚举值为“期内发生式；期内索赔式”。</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008006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赔付类型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保险公司给付保险金的情况类型。</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枚举值为“正常给付；协议；部分；拒赔；通融赔付；其他”。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008007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责任认定书类型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事故责任认定书类型的代码，例如：交警的责任认定书、第三方事故处理部门出具的责任认定书等。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枚举值为“交通事故责任认定书；机动车交通事故快速处理协议书；其他认定事故责任的证明”。</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008008</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保险事故分类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本次交通事故的分类代码，例如：侧面相撞、自燃等。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引用《业务代码表》“保险事故分类”，编号CD000057。</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008009</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直接理赔费用类型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财产保险公司理赔过程中发生与某一特定赔案直接相关，能够直接确认到该赔案的费用分类代码。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枚举值为“公估费；专家费；损失检验费；律师费；诉讼费；差旅费用；其它直接理赔费用”。</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008010</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被追偿方类型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指定被追偿方类型代码。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枚举值为“个人；团体”。</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008011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标的所处位置</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标的所处位置描述。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引用《业务代码表》“标的所处位置”，编号CD000046。</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008012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立案处理类型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立案处理类型状态描述。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枚举值为“正常理算；立案注销；立案注销恢复；零结案；立案拒赔；其他”。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008013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现场类别</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报案的现场类别。</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枚举值为“无现场；第一现场；第二现场”。</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bl>
    <w:p/>
    <w:p>
      <w:pPr>
        <w:pStyle w:val="4"/>
      </w:pPr>
      <w:bookmarkStart w:id="117" w:name="_Toc1734828911"/>
      <w:bookmarkStart w:id="118" w:name="_Toc25893"/>
      <w:r>
        <w:rPr>
          <w:rFonts w:hint="eastAsia"/>
        </w:rPr>
        <w:t>服务信息</w:t>
      </w:r>
      <w:bookmarkEnd w:id="117"/>
      <w:bookmarkEnd w:id="118"/>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009001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投诉类型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客户投诉的类型代码。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枚举值为“销售纠纷；理赔纠纷；退保纠纷；承保纠纷；续收续保纠纷；保全纠纷；其他”。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009002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处理状态</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客户投诉的处理状态的代码。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枚举值为“待解决；解决中；已解决；已关闭”。</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009003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回访类型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对客户进行回访的类型。</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枚举值为“电话回访；电子回访；面访；信函回访；其他”。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bl>
    <w:p/>
    <w:p>
      <w:pPr>
        <w:pStyle w:val="4"/>
      </w:pPr>
      <w:bookmarkStart w:id="119" w:name="_Toc2098"/>
      <w:bookmarkStart w:id="120" w:name="_Toc884031858"/>
      <w:r>
        <w:rPr>
          <w:rFonts w:hint="eastAsia"/>
        </w:rPr>
        <w:t>车险专项信息</w:t>
      </w:r>
      <w:bookmarkEnd w:id="119"/>
      <w:bookmarkEnd w:id="120"/>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车辆识别码</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是根据道路车辆车辆识别码(VIN)编制标准制定的17位车辆编码，包含有车辆的生产厂家、年代、车型、车身型式及代码、发动机代码及组装地点等信息。</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发动机号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车辆的发动机的编号，是一辆汽车的身份标识。</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车辆类型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用于机动车辆登记注册的机动车辆分类代码，例如：小型轿车、中型货车等。应与机动车行驶证上登记的车辆类型保持一致。</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引用《业务代码表》“机动车车辆类型”，编号CD000049。</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号牌种类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车辆登记的号牌种类代码，例如：大型汽车号牌、使馆汽车号牌等。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引用《业务代码表》“号牌种类”，编号CD000053。</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车牌号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车辆的车牌号。</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车辆使用性质</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车辆的使用性质代码，例如：旅游客运、非营业个人等。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引用《业务代码表》“机动车使用性质”，编号CD000050。</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010007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机动车车辆种类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车辆的车辆类别代码，例如：客车、油罐车等。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引用《业务代码表》“车辆种类”，编号CD000052。</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010008</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车辆状态</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车辆的交管车辆机动车状态代码，例如：查封、暂扣等。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引用《业务代码表》“交管车辆机动车状态”，编号CD000054。</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010009</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车辆能源种类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车辆所使用能源的种类代码。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引用《业务代码表》“交管能源种类”，编号CD000051。</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010010</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排量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车辆的发动机排量，单位为升（L）。</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D10.2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010011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纳税类型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交强险保单标的车车船税缴纳类型的标识代码。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枚举值为"正常缴税；免税；减税；已完税；有争议；拒缴”。</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010012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减免税类型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交强险保单标的车车船税减免类型的标识代码。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枚举值为"具备减免税证明；拖拉机；军队、武警专用车；警车；外国使领馆、国际组织及其人员；能源减免；其他”。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010013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开具税务机关代码</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指交强险保单标的车车船税征收税务机关的代码。要求填写。税务机构代码采用中华人民共和国税务行业标准</w:t>
            </w:r>
            <w:r>
              <w:rPr>
                <w:rFonts w:hint="eastAsia" w:ascii="宋体" w:hAnsi="宋体" w:cs="宋体"/>
                <w:color w:val="000000"/>
                <w:kern w:val="0"/>
                <w:szCs w:val="21"/>
                <w:lang w:bidi="ar"/>
              </w:rPr>
              <w:br w:type="textWrapping"/>
            </w:r>
            <w:r>
              <w:rPr>
                <w:rFonts w:hint="eastAsia" w:ascii="宋体" w:hAnsi="宋体" w:cs="宋体"/>
                <w:color w:val="000000"/>
                <w:kern w:val="0"/>
                <w:szCs w:val="21"/>
                <w:lang w:bidi="ar"/>
              </w:rPr>
              <w:t>《税务机构代码》（SW 12-2018）中规定的层次码，用11位阿拉伯数字表示，共分6层，第1层1位数字，表示税务机构类别，其后每2位数字为1层，分别表示省、地市、区县、乡镇、股级</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010014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伤亡人员交通状态</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车辆发生事故前车辆道路交通状态的标识代码，例如：行驶、掉头等。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枚举值为“行驶；停靠；左转弯；右转弯；掉头；其他”。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010015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伤亡类型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在事故中伤残或死亡的人员的伤亡类型代码，例如：伤残、死亡。</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枚举值为“伤残；死亡”。</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010016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伤情类别</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在事故中伤残或死亡的人员伤情类别的代码，例如：简易人伤、伤残等。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枚举值为“简易人伤；伤残；死亡”。</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010017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伤残程度</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在事故中伤残或死亡的人员伤残程度的代码，例如：伤残1级、伤残2级等。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引用《业务代码表》“伤残程度”，编号CD000067。</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010018</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伤亡人员医疗类型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在事故中伤残或死亡的人员的医疗类型代码，例如：门诊、住院等。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枚举值为“门诊；住院；死亡”。</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010019</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伤亡人员属性</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在事故中伤残或死亡的人员的属性代码。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枚举值为“本车驾驶员；车外人员；本车乘客”。</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bl>
    <w:p/>
    <w:p>
      <w:pPr>
        <w:pStyle w:val="4"/>
      </w:pPr>
      <w:bookmarkStart w:id="121" w:name="_Toc5005"/>
      <w:bookmarkStart w:id="122" w:name="_Toc1631567460"/>
      <w:r>
        <w:rPr>
          <w:rFonts w:hint="eastAsia"/>
        </w:rPr>
        <w:t>农险专项信息</w:t>
      </w:r>
      <w:bookmarkEnd w:id="121"/>
      <w:bookmarkEnd w:id="122"/>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011001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农险投保方式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根据被保险人是单一个体还是多个个体所划分的保单性质代码。例如：个人投保、团体投保。</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枚举值为“个体投保；集体投保；法人投保”。</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011002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农险业务类型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根据农业保险是否接受各级政府财政保费补贴划分为中央财政补贴型、地方财政补贴型、商业性农险业务的代码。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枚举值为“中央政策性农业保险；地方政策性农业保险；商业性农业保险”。</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011003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农险经营模式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保险公司农业保险业务的经营模式代码。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枚举值为“自办；共保；联办；代办”。</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011004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农业主体类型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农业险保单上农业主体类型的代码。例如：普通农户、家庭农场、集体农业企业等。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引用《业务代码表》“农业主体类型”，编号CD000026。</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011005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农业用地分类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农业用地的分类代码。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引用《业务代码表》“农用地分类”，编号CD000025。</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011006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农险标的</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农业险标的的代码。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引用《业务代码表》“农险标的分类”，编号CD000024。</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011007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林权证号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县级以上人民政府或国务院林业主管部门颁发的，确认森林、林木和林地权属的证书编号。</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011008</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养殖方式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养殖业保险中蓄养动物的方式。</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枚举值为“规模养殖；散养”。</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011009</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养殖用途</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养殖业保险标的的养殖用途描述。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枚举值为“役用；种用；肉用；其他用途”。</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bl>
    <w:p/>
    <w:p>
      <w:pPr>
        <w:pStyle w:val="4"/>
      </w:pPr>
      <w:bookmarkStart w:id="123" w:name="_Toc11818"/>
      <w:bookmarkStart w:id="124" w:name="_Toc535611677"/>
      <w:r>
        <w:rPr>
          <w:rFonts w:hint="eastAsia"/>
        </w:rPr>
        <w:t>家财险专项信息</w:t>
      </w:r>
      <w:bookmarkEnd w:id="123"/>
      <w:bookmarkEnd w:id="124"/>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012001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房屋所有权证号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房屋的房屋产权证上记录的房屋所有权证编号。</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012002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贷款性质</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贷款的贷款性质代码。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枚举值为“公积金贷款；组合贷款；商业贷款；其他贷款”。</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012003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房屋用途</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房屋的用途代码。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枚举值为“自住；商住两用；出租；其他”。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012004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建筑结构</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房屋的结构代码。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引用《业务代码表》“建筑结构”，编号CD000029。</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012005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建筑物主体分类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建筑物主体的分类代码。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枚举值为“屋顶；墙体；地面；主体结构部分；其他”。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012006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建筑耐火等级</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建筑物耐火程度的分类代码。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枚举值为“防火建筑；不可燃建筑；可燃建筑；易燃建筑；其它”。</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012007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建筑耐久等级</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建筑物耐久程度的分类代码。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枚举值为“一级，耐久年限100年以上；二级，耐久年限50~100年；三级，耐久年限25~50年；四级，耐久年限15年以下；其他”。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bl>
    <w:p/>
    <w:p>
      <w:pPr>
        <w:pStyle w:val="4"/>
      </w:pPr>
      <w:bookmarkStart w:id="125" w:name="_Toc1921490762"/>
      <w:bookmarkStart w:id="126" w:name="_Toc6585"/>
      <w:r>
        <w:rPr>
          <w:rFonts w:hint="eastAsia"/>
        </w:rPr>
        <w:t>企财险专项信息</w:t>
      </w:r>
      <w:bookmarkEnd w:id="125"/>
      <w:bookmarkEnd w:id="126"/>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013001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单位性质</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企业的单位性质代码，依据企业的经济类型（所有制）和所从事的业务活动的性质划分。</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引用《业务代码表》“单位性质”，编号CD000020。</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013002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企业资质等级</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建筑工程项目的设计单位设计资质等级。</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枚举值为“甲级；乙级；丙级；丁级；其他”。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013003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国民经济行业分类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按企业、事业单位、机关团体和个体从业人员所从事的生产经营活动或其他社会经济活动的性质进行行业分类描述。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引用《业务代码表》“国民经济行业分类”，编号CD000036。</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013004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占用性质</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企业的占用性质代码，按照企业财产保险标的分类标准的大类进行分类，例如：一级工业，二级工业，储存一般物资等。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引用《业务代码表》“占用性质”，编号CD000035。</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013005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供电机构类别</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供电机构的机构类别，例如：电力能源-电网（国家级）、电力能源-电网（区域级）等。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枚举值为“电力能源-电网（国家级）；电力能源-电网（区域级）；电力能源-电网（省级）；电力能源-电网（市级）；电力能源-电网（县级）；电力能源-电网（其他）；临时工；其他”。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013006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企业规模类型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企业规模类型，根据《统计上大中小微型企业划分办法(2017)》国统字〔2017〕213号分类标准划分。</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枚举值为“大型；中型；小型；微型”。</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bl>
    <w:p/>
    <w:p>
      <w:pPr>
        <w:pStyle w:val="4"/>
      </w:pPr>
      <w:bookmarkStart w:id="127" w:name="_Toc4231"/>
      <w:bookmarkStart w:id="128" w:name="_Toc636153348"/>
      <w:r>
        <w:rPr>
          <w:rFonts w:hint="eastAsia"/>
        </w:rPr>
        <w:t>责任险专项信息</w:t>
      </w:r>
      <w:bookmarkEnd w:id="127"/>
      <w:bookmarkEnd w:id="128"/>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014001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医疗机构类别</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医疗机构的类别代码，例如：中医医院、中西医结合医院等。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引用《业务代码表》“医疗机构类别”，编号CD000040。</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014002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医疗机构等级</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医疗机构的等级代码例如：一甲、二甲等。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引用《业务代码表》“医疗机构等级”，编号CD000039。</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014003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医疗机构性质</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医疗机构的性质代码。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枚举值为“盈利性；非盈利性”。</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014004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医疗机构种类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医疗机构的种类代码。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枚举值为“综合性；专科；其他”。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014005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养老机构性质</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养老机构的性质代码。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枚举值为“公立；民办；其他”。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014006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学校类型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学校的类型代码，例如：小学、大学等。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引用《业务代码表》“学校类型”，编号CD000041。</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014007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学校性质</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学校的性质代码，例如：公立、私立等。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枚举值为“公立；私立；其他”。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014008</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食品企业类型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食品企业的食品企业类型代码，例如：生产、加工等。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枚举值为“生产；加工；流通；其他”。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014009</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食品生产许可证号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食品生产加工企业的食品生产许可证号或者食品流量通企业的流通许可证号。</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014010</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旅行社类别</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旅行社的类别。</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枚举值为“国内旅行社；国际旅行社；其他”。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014011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专利号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指在授予专利权时给出的编号。</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bl>
    <w:p/>
    <w:p>
      <w:pPr>
        <w:pStyle w:val="4"/>
      </w:pPr>
      <w:bookmarkStart w:id="129" w:name="_Toc31901"/>
      <w:bookmarkStart w:id="130" w:name="_Toc1655725070"/>
      <w:r>
        <w:rPr>
          <w:rFonts w:hint="eastAsia"/>
        </w:rPr>
        <w:t>信用险专项信息</w:t>
      </w:r>
      <w:bookmarkEnd w:id="129"/>
      <w:bookmarkEnd w:id="130"/>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015001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销售额申报频率</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被保险人向保险人进行申报的频率代码。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枚举值为“即时申报；周申报；半月申报；月申报；季申报；半年申报；年申报；其他申报方式”。</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015002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风险类别</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保险的风险类别代码。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枚举值为“商业风险；政治风险；商业风险与政治风险；其他”。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015003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贸易支付方式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卖方与买方贸易过程中付款方式的代码。适用于短期出口信用保险。</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枚举值为“付款交单；承兑交单；赊销；信用证”。</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015004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销售额申报方式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被保险人向保险人进行申报的方式代码。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引用《业务代码表》“销售额申报方式”，编号CD000068。</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015005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信用保险约定保险范围</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保险人按照保险合同约定，可以承担保险责任的范围。</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枚举值为“全部非信用证支付方式的出口；全部信用证支付方式的出口；部分非信用证支付方式的出口；部分信用证支付方式的出口；其他约定”。</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015006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贷款种类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按贷款信用程度划分的贷款种类。例如：信用贷款、担保贷款、票据贴现等。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枚举值为“信用贷款；担保贷款；票据贴现；其他”。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015007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还款账户类型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贷款的还款账户的类型。例如：个人结算账户、信用卡账户等。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枚举值为“个人结算账户；储蓄账户；个人支票账户；信用卡账户；第三方平台账户”。</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015008</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还款方式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贷款的还款方式。例如：等额本金还款法、等额本息还款法等。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引用《业务代码表》“还款方式”，编号CD000028。</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015009</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逾期原因</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逾期原因的代码。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枚举值为“破产；技术性破产；习惯性拖欠；恶意拖欠；其他”。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bl>
    <w:p/>
    <w:p>
      <w:pPr>
        <w:pStyle w:val="4"/>
      </w:pPr>
      <w:bookmarkStart w:id="131" w:name="_Toc678153664"/>
      <w:bookmarkStart w:id="132" w:name="_Toc4105"/>
      <w:r>
        <w:rPr>
          <w:rFonts w:hint="eastAsia"/>
        </w:rPr>
        <w:t>保证险专项信息</w:t>
      </w:r>
      <w:bookmarkEnd w:id="131"/>
      <w:bookmarkEnd w:id="132"/>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016001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财产保全方式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诉讼财产的财产保全方式分类代码，例如：查封、冻结等。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枚举值为“查封；扣押；冻结；其他”。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016002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保全标的类型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诉讼财产保全的类型代码，例如：房产、现金等。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引用《业务代码表》“诉讼保全标的类型”，编号CD000038。</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016003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主要担保方式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在经济活动中，债权人保障其债权实现的主要方式。</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枚举值为“质押（含保证金）；抵押；保证；信用；其他”。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016004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借款人性质</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保证保险标的贷款的贷款人性质。</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枚举值为“个人；企业”。</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bl>
    <w:p/>
    <w:p>
      <w:pPr>
        <w:pStyle w:val="4"/>
      </w:pPr>
      <w:bookmarkStart w:id="133" w:name="_Toc13097"/>
      <w:bookmarkStart w:id="134" w:name="_Toc1032916219"/>
      <w:r>
        <w:rPr>
          <w:rFonts w:hint="eastAsia"/>
        </w:rPr>
        <w:t>货运险专项信息</w:t>
      </w:r>
      <w:bookmarkEnd w:id="133"/>
      <w:bookmarkEnd w:id="134"/>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017001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运输许可证号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承运人的道路运输经营许可证编号。</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017002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运输方式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运输方式的代码，例如：海上运输、邮件运输、多式联运等。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引用《业务代码表》“运输方式”，编号CD000044。</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017003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运输地域范围</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承运人的运输地域范围代码，例如：县内、市内等。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枚举值为“县内；市内；省内；全国；其他”。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017004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商品类别</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商品类别的代码，例如：煤炭及矿石、石油及制品、钢铁及有色金属等。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引用《业务代码表》“商品类别”，编号CD000048。</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017005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包装方式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货物的包装方式，例如：散装、盒型硬质、袋型软质等。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枚举值为“散装；无包装散件；盒型硬质；圆筒形硬质；球状硬质；其他硬质；袋型软质；其他或特殊包装”。</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017006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集装箱类型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集装箱的类型，例如：干货箱、冷藏箱等。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枚举值为“干货箱；冷藏箱；灌式箱；其他”。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017007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危险品类别</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承运人的危险货物类别，例如：爆炸品、压缩气体等。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引用《业务代码表》“危险品类别”，编号CD000061。</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017008</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船籍港</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位于海、江、河、湖、水库沿岸，具有水陆联运设备以及条件以供船舶安全进出和停泊的运输枢纽的名称。</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017009</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车次</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负责运输标的货物的列车的车次。</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bl>
    <w:p/>
    <w:p>
      <w:pPr>
        <w:pStyle w:val="4"/>
      </w:pPr>
      <w:bookmarkStart w:id="135" w:name="_Toc17483"/>
      <w:bookmarkStart w:id="136" w:name="_Toc2112574032"/>
      <w:r>
        <w:rPr>
          <w:rFonts w:hint="eastAsia"/>
        </w:rPr>
        <w:t>船舶险专项信息</w:t>
      </w:r>
      <w:bookmarkEnd w:id="135"/>
      <w:bookmarkEnd w:id="136"/>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018001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船舶识别号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指用于永久识别船舶的唯一编码。船舶识别号由英文字母CN和11位阿拉伯数字组成。CN代表中国，11位阿拉伯数字的前四位表示船舶安放龙骨的年份，第5至10位是随机编号，第11位是校验码。</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018002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IMO编号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IMO编号即IMONumber是指国际海事组织的识别码，规定的劳氏船舶登记号（以下简称IMO）的编号。适用于远洋船舶保险。</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018003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船舶种类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船舶种类的代码，例如：客船、货船等。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引用《业务代码表》“船舶种类”，编号CD000047。</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018004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船舶经营方式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船舶的经营方式代码。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枚举值为“自营；承包；租赁；挂靠；其他”。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018005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船体材料</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船体材料。</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枚举值为“钢(铁)质；木质；水泥；铝合金；玻璃钢；玻璃纤维；其它”。</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018006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航行区域</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又称船区代码，是指船级社、适航证上核定载明的船舶航行最大区域。船舶建造时规范所允许的船舶航行最大的区域。例如：近洋、远洋等。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枚举值为“遮蔽；内河；沿海；近洋；远洋；无限航区；其他”。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018007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船龄</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船舶建造完毕至今的年限。</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D5.2</w:t>
            </w:r>
          </w:p>
        </w:tc>
      </w:tr>
    </w:tbl>
    <w:p/>
    <w:p>
      <w:pPr>
        <w:pStyle w:val="4"/>
      </w:pPr>
      <w:bookmarkStart w:id="137" w:name="_Toc10578"/>
      <w:bookmarkStart w:id="138" w:name="_Toc1684619973"/>
      <w:r>
        <w:rPr>
          <w:rFonts w:hint="eastAsia"/>
        </w:rPr>
        <w:t>工程险专项信息</w:t>
      </w:r>
      <w:bookmarkEnd w:id="137"/>
      <w:bookmarkEnd w:id="138"/>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019001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工程类别</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工程的类别代码。例如：楼宇、陆上交通建筑工程等。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引用《业务代码表》“工程类别”，编号CD000042。</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019002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工程施工企业资质等级</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工程施工企业资质的等级代码。例如：一级、二级等。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枚举值为“特级；一级；二级；三级；其他”。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019003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设备使用证号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设备的设备使用证号。应与质量技术监督局签发的设备使用登记证上的设备使用证号保持一致。</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019004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机械设备类型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工程机械设备的分类代码，例如：挖掘机械、铲土运输机械等。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引用《业务代码表》“机械设备类型”，编号CD000034。</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019005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申报类型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申报装备的申报类型代码，例如：国内首台（套）、省内首台（套）等。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枚举值为“国内首台（套）；省内首台（套）；关键部件；基础件产品；其他”。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019006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特种设备使用证号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特种设备的特种设备使用证号。</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019007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特种设备种类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特种设备的种类代码，例如：锅炉、气瓶等。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引用《业务代码表》“特种设备种类”，编号CD000045。</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bl>
    <w:p/>
    <w:p>
      <w:pPr>
        <w:pStyle w:val="4"/>
      </w:pPr>
      <w:bookmarkStart w:id="139" w:name="_Toc22824"/>
      <w:bookmarkStart w:id="140" w:name="_Toc983484163"/>
      <w:r>
        <w:rPr>
          <w:rFonts w:hint="eastAsia"/>
        </w:rPr>
        <w:t>特殊风险专项信息</w:t>
      </w:r>
      <w:bookmarkEnd w:id="139"/>
      <w:bookmarkEnd w:id="140"/>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020001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航空器注册编号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又称国籍登记标志编码，是指根据国际民用航空公约的规定，从事航行的每一航空器应载有的国籍标志和登记标志。</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020002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航空器种类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航空器种类的代码。例如：气球、飞艇等。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引用《业务代码表》“航空器种类”，编号CD000062。</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020003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航空器飞行用途</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航空器进行飞行时的用途代码。例如：训练飞行、商业飞行等。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枚举值为“个人用途；私用娱乐及公务飞行；训练飞行；商业飞行；军用飞行；空中作业；警用/政府相关用途；其他”。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020004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航班号</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飞机的航班号。</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020005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石油建安工程类别</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石油建安工程的分类代码。例如：海上、陆地。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枚举值为“海上工程；陆地工程”。</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020006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井别</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按照钻井目的和开发的要求对井进行的分类。</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枚举值为“探井；开发井；生产井；弃置井”。</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020007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平台种类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对油气资源勘探与开发平台种类的描述。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枚举值为“移动式平台；固定式平台；顺应式结构”。</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bl>
    <w:p/>
    <w:p>
      <w:pPr>
        <w:pStyle w:val="4"/>
      </w:pPr>
      <w:bookmarkStart w:id="141" w:name="_Toc29782"/>
      <w:bookmarkStart w:id="142" w:name="_Toc236696582"/>
      <w:r>
        <w:rPr>
          <w:rFonts w:hint="eastAsia"/>
        </w:rPr>
        <w:t>投资信息</w:t>
      </w:r>
      <w:bookmarkEnd w:id="141"/>
      <w:bookmarkEnd w:id="142"/>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021001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投资账户名称</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保险公司系统中记录的进行投资的账户名称。</w:t>
            </w:r>
          </w:p>
        </w:tc>
        <w:tc>
          <w:tcPr>
            <w:tcW w:w="2617" w:type="dxa"/>
            <w:vAlign w:val="center"/>
          </w:tcPr>
          <w:p>
            <w:pPr>
              <w:jc w:val="left"/>
              <w:rPr>
                <w:rFonts w:ascii="宋体" w:hAnsi="宋体" w:cs="宋体"/>
                <w:color w:val="000000"/>
                <w:szCs w:val="21"/>
              </w:rPr>
            </w:pP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021002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账户类型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根据账户内资金来源划分账户的类型。</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枚举值为“传统保险账户；资本补充债和次级债账户；资预定收益型投资保险产品”；非预定收益型投资保险产品”。</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021003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产品交易市场类型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产品交易市场代码，非标产品的市场对应为场外市场，填报中文描述。例如：场外交易市场,上海证券交易所等。</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引用《业务代码表》“产品交易市场类型”，编号CD000017。</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021004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资金运用资产类型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证券资产的明细分类，其中不动产、其他金融资产两大类中产品为非标产品。</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引用《业务代码表》“资金运用资产类型”，编号CD000018。</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021005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交易方向</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资产的交易方向描述。</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枚举值为“借（余额增）；贷（余额减）”。</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021006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投资类型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财产保险公司运用保险资金和自有资金的方式。</w:t>
            </w:r>
          </w:p>
        </w:tc>
        <w:tc>
          <w:tcPr>
            <w:tcW w:w="2617" w:type="dxa"/>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枚举值为“自主投资；委托投资”。</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C..50</w:t>
            </w:r>
          </w:p>
        </w:tc>
      </w:tr>
    </w:tbl>
    <w:p/>
    <w:p>
      <w:pPr>
        <w:pStyle w:val="4"/>
      </w:pPr>
      <w:bookmarkStart w:id="143" w:name="_Toc3184"/>
      <w:bookmarkStart w:id="144" w:name="_Toc1019739430"/>
      <w:r>
        <w:rPr>
          <w:rFonts w:hint="eastAsia"/>
        </w:rPr>
        <w:t>关联交易信息</w:t>
      </w:r>
      <w:bookmarkEnd w:id="143"/>
      <w:bookmarkEnd w:id="144"/>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022001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与前一层的关联关系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与前一层关联关系代码。</w:t>
            </w:r>
          </w:p>
        </w:tc>
        <w:tc>
          <w:tcPr>
            <w:tcW w:w="2617" w:type="dxa"/>
            <w:vAlign w:val="center"/>
          </w:tcPr>
          <w:p>
            <w:pPr>
              <w:jc w:val="left"/>
              <w:rPr>
                <w:rFonts w:ascii="宋体" w:hAnsi="宋体" w:cs="宋体"/>
                <w:color w:val="000000"/>
                <w:szCs w:val="21"/>
              </w:rPr>
            </w:pPr>
            <w:r>
              <w:rPr>
                <w:rFonts w:hint="eastAsia" w:ascii="宋体" w:hAnsi="宋体" w:cs="宋体"/>
                <w:color w:val="000000"/>
                <w:szCs w:val="21"/>
              </w:rPr>
              <w:t>引用《业务代码表》“关联关系类型”，编号CD000066。</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022002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关联交易业务类型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关联交易业务类型。</w:t>
            </w:r>
          </w:p>
        </w:tc>
        <w:tc>
          <w:tcPr>
            <w:tcW w:w="2617" w:type="dxa"/>
            <w:vAlign w:val="center"/>
          </w:tcPr>
          <w:p>
            <w:pPr>
              <w:jc w:val="left"/>
              <w:rPr>
                <w:rFonts w:ascii="宋体" w:hAnsi="宋体" w:cs="宋体"/>
                <w:color w:val="000000"/>
                <w:szCs w:val="21"/>
              </w:rPr>
            </w:pPr>
            <w:r>
              <w:rPr>
                <w:rFonts w:hint="eastAsia" w:ascii="宋体" w:hAnsi="宋体" w:cs="宋体"/>
                <w:color w:val="000000"/>
                <w:szCs w:val="21"/>
              </w:rPr>
              <w:t>引用《业务代码表》“关系交易业务类型”，编号CD000064。</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022003</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关联方/关联方中间节点类型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关联方/关联方中间节点类型。</w:t>
            </w:r>
          </w:p>
        </w:tc>
        <w:tc>
          <w:tcPr>
            <w:tcW w:w="2617" w:type="dxa"/>
            <w:vAlign w:val="center"/>
          </w:tcPr>
          <w:p>
            <w:pPr>
              <w:jc w:val="left"/>
              <w:rPr>
                <w:rFonts w:ascii="宋体" w:hAnsi="宋体" w:cs="宋体"/>
                <w:color w:val="000000"/>
                <w:szCs w:val="21"/>
              </w:rPr>
            </w:pPr>
            <w:r>
              <w:rPr>
                <w:rFonts w:hint="eastAsia" w:ascii="宋体" w:hAnsi="宋体" w:cs="宋体"/>
                <w:color w:val="000000"/>
                <w:szCs w:val="21"/>
              </w:rPr>
              <w:t>枚举值为“法人或其他组织；自然人；金融产品等其他”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022004</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与前一层之间是否有权益份额</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与前一层之间是否有权益份额代码。</w:t>
            </w:r>
          </w:p>
        </w:tc>
        <w:tc>
          <w:tcPr>
            <w:tcW w:w="2617" w:type="dxa"/>
            <w:vAlign w:val="center"/>
          </w:tcPr>
          <w:p>
            <w:pPr>
              <w:jc w:val="left"/>
              <w:rPr>
                <w:rFonts w:ascii="宋体" w:hAnsi="宋体" w:cs="宋体"/>
                <w:color w:val="000000"/>
                <w:szCs w:val="21"/>
              </w:rPr>
            </w:pPr>
            <w:r>
              <w:rPr>
                <w:rFonts w:hint="eastAsia" w:ascii="宋体" w:hAnsi="宋体" w:cs="宋体"/>
                <w:color w:val="000000"/>
                <w:szCs w:val="21"/>
              </w:rPr>
              <w:t>枚举值为“是，对前一层持有；是，被前一层持有；否”</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022005</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金融产品分类</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关联交易金融产品分类代码。</w:t>
            </w:r>
          </w:p>
        </w:tc>
        <w:tc>
          <w:tcPr>
            <w:tcW w:w="2617" w:type="dxa"/>
            <w:vAlign w:val="center"/>
          </w:tcPr>
          <w:p>
            <w:pPr>
              <w:jc w:val="left"/>
              <w:rPr>
                <w:rFonts w:ascii="宋体" w:hAnsi="宋体" w:cs="宋体"/>
                <w:color w:val="000000"/>
                <w:szCs w:val="21"/>
              </w:rPr>
            </w:pPr>
            <w:r>
              <w:rPr>
                <w:rFonts w:hint="eastAsia" w:ascii="宋体" w:hAnsi="宋体" w:cs="宋体"/>
                <w:color w:val="000000"/>
                <w:szCs w:val="21"/>
              </w:rPr>
              <w:t>引用《业务代码表》“金融产品分类”，编号CD000065。</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022006</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投资方式</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资金运用类关联交易投资方式的类型代码。</w:t>
            </w:r>
          </w:p>
        </w:tc>
        <w:tc>
          <w:tcPr>
            <w:tcW w:w="2617" w:type="dxa"/>
            <w:vAlign w:val="center"/>
          </w:tcPr>
          <w:p>
            <w:pPr>
              <w:jc w:val="left"/>
              <w:rPr>
                <w:rFonts w:ascii="宋体" w:hAnsi="宋体" w:cs="宋体"/>
                <w:color w:val="000000"/>
                <w:szCs w:val="21"/>
              </w:rPr>
            </w:pPr>
            <w:r>
              <w:rPr>
                <w:rFonts w:hint="eastAsia" w:ascii="宋体" w:hAnsi="宋体" w:cs="宋体"/>
                <w:color w:val="000000"/>
                <w:szCs w:val="21"/>
              </w:rPr>
              <w:t>枚举值为“直接投资；间接投资”</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022007</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境内外性质</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关联方是境内还是境外自然人或机构。</w:t>
            </w:r>
          </w:p>
        </w:tc>
        <w:tc>
          <w:tcPr>
            <w:tcW w:w="2617" w:type="dxa"/>
            <w:vAlign w:val="center"/>
          </w:tcPr>
          <w:p>
            <w:pPr>
              <w:jc w:val="left"/>
              <w:rPr>
                <w:rFonts w:ascii="宋体" w:hAnsi="宋体" w:cs="宋体"/>
                <w:color w:val="000000"/>
                <w:szCs w:val="21"/>
              </w:rPr>
            </w:pPr>
            <w:r>
              <w:rPr>
                <w:rFonts w:hint="eastAsia" w:ascii="宋体" w:hAnsi="宋体" w:cs="宋体"/>
                <w:color w:val="000000"/>
                <w:szCs w:val="21"/>
              </w:rPr>
              <w:t>枚举值为“境内；境外”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022008</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达到重大关联交易的情形</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达到重大关联交易的情形描述。</w:t>
            </w:r>
          </w:p>
        </w:tc>
        <w:tc>
          <w:tcPr>
            <w:tcW w:w="2617" w:type="dxa"/>
            <w:vAlign w:val="center"/>
          </w:tcPr>
          <w:p>
            <w:pPr>
              <w:jc w:val="left"/>
              <w:rPr>
                <w:rFonts w:ascii="宋体" w:hAnsi="宋体" w:cs="宋体"/>
                <w:color w:val="000000"/>
                <w:szCs w:val="21"/>
              </w:rPr>
            </w:pPr>
            <w:r>
              <w:rPr>
                <w:rFonts w:hint="eastAsia" w:ascii="宋体" w:hAnsi="宋体" w:cs="宋体"/>
                <w:color w:val="000000"/>
                <w:szCs w:val="21"/>
              </w:rPr>
              <w:t>枚举值为“单笔达到；累计达到”</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C..50</w:t>
            </w:r>
          </w:p>
        </w:tc>
      </w:tr>
    </w:tbl>
    <w:p/>
    <w:p>
      <w:pPr>
        <w:pStyle w:val="4"/>
      </w:pPr>
      <w:bookmarkStart w:id="145" w:name="_Toc2596"/>
      <w:bookmarkStart w:id="146" w:name="_Toc1841096950"/>
      <w:r>
        <w:rPr>
          <w:rFonts w:hint="eastAsia"/>
        </w:rPr>
        <w:t>意外健康险专项信息</w:t>
      </w:r>
      <w:bookmarkEnd w:id="145"/>
      <w:bookmarkEnd w:id="146"/>
    </w:p>
    <w:tbl>
      <w:tblPr>
        <w:tblStyle w:val="49"/>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blGrid>
        <w:gridCol w:w="1100"/>
        <w:gridCol w:w="1100"/>
        <w:gridCol w:w="2770"/>
        <w:gridCol w:w="2617"/>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285" w:hRule="atLeast"/>
        </w:trPr>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数据元编码</w:t>
            </w:r>
          </w:p>
        </w:tc>
        <w:tc>
          <w:tcPr>
            <w:tcW w:w="110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数据元名称</w:t>
            </w:r>
          </w:p>
        </w:tc>
        <w:tc>
          <w:tcPr>
            <w:tcW w:w="2770"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数据元说明</w:t>
            </w:r>
          </w:p>
        </w:tc>
        <w:tc>
          <w:tcPr>
            <w:tcW w:w="2617"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取值范围</w:t>
            </w:r>
          </w:p>
        </w:tc>
        <w:tc>
          <w:tcPr>
            <w:tcW w:w="889" w:type="dxa"/>
            <w:vAlign w:val="center"/>
          </w:tcPr>
          <w:p>
            <w:pPr>
              <w:widowControl/>
              <w:jc w:val="center"/>
              <w:textAlignment w:val="center"/>
              <w:rPr>
                <w:rFonts w:ascii="宋体" w:hAnsi="宋体" w:cs="宋体"/>
                <w:b/>
                <w:color w:val="000000"/>
                <w:sz w:val="24"/>
                <w:szCs w:val="24"/>
              </w:rPr>
            </w:pPr>
            <w:r>
              <w:rPr>
                <w:rFonts w:hint="eastAsia" w:ascii="宋体" w:hAnsi="宋体" w:cs="宋体"/>
                <w:b/>
                <w:color w:val="000000"/>
                <w:kern w:val="0"/>
                <w:sz w:val="24"/>
                <w:szCs w:val="24"/>
                <w:lang w:bidi="ar"/>
              </w:rPr>
              <w:t>数据格式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023001</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赔付责任类型</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意外医疗，疾病医疗等赔付责任类型。</w:t>
            </w:r>
          </w:p>
        </w:tc>
        <w:tc>
          <w:tcPr>
            <w:tcW w:w="2617" w:type="dxa"/>
            <w:vAlign w:val="center"/>
          </w:tcPr>
          <w:p>
            <w:pPr>
              <w:jc w:val="left"/>
              <w:rPr>
                <w:rFonts w:ascii="宋体" w:hAnsi="宋体" w:cs="宋体"/>
                <w:color w:val="000000"/>
                <w:szCs w:val="21"/>
              </w:rPr>
            </w:pPr>
            <w:r>
              <w:rPr>
                <w:rFonts w:hint="eastAsia" w:ascii="宋体" w:hAnsi="宋体" w:cs="宋体"/>
                <w:color w:val="000000"/>
                <w:szCs w:val="21"/>
              </w:rPr>
              <w:t>引用《业务代码表》“赔付责任类型”，编号CD000063。</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C..50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Ex>
        <w:trPr>
          <w:trHeight w:val="510" w:hRule="atLeast"/>
        </w:trPr>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023002</w:t>
            </w:r>
          </w:p>
        </w:tc>
        <w:tc>
          <w:tcPr>
            <w:tcW w:w="1100"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死亡原因</w:t>
            </w:r>
          </w:p>
        </w:tc>
        <w:tc>
          <w:tcPr>
            <w:tcW w:w="2770" w:type="dxa"/>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出险人的死亡原因</w:t>
            </w:r>
          </w:p>
        </w:tc>
        <w:tc>
          <w:tcPr>
            <w:tcW w:w="2617" w:type="dxa"/>
            <w:vAlign w:val="center"/>
          </w:tcPr>
          <w:p>
            <w:pPr>
              <w:jc w:val="left"/>
              <w:rPr>
                <w:rFonts w:ascii="宋体" w:hAnsi="宋体" w:cs="宋体"/>
                <w:color w:val="000000"/>
                <w:szCs w:val="21"/>
              </w:rPr>
            </w:pPr>
            <w:r>
              <w:rPr>
                <w:rFonts w:hint="eastAsia" w:ascii="宋体" w:hAnsi="宋体" w:cs="宋体"/>
                <w:color w:val="000000"/>
                <w:szCs w:val="21"/>
              </w:rPr>
              <w:t>枚举值为“疾病；意外；自杀；其他”</w:t>
            </w:r>
          </w:p>
        </w:tc>
        <w:tc>
          <w:tcPr>
            <w:tcW w:w="889"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C..50</w:t>
            </w:r>
          </w:p>
        </w:tc>
      </w:tr>
    </w:tbl>
    <w:p/>
    <w:p/>
    <w:p/>
    <w:p/>
    <w:sectPr>
      <w:footerReference r:id="rId5" w:type="first"/>
      <w:footerReference r:id="rId4" w:type="default"/>
      <w:type w:val="oddPage"/>
      <w:pgSz w:w="11906" w:h="16838"/>
      <w:pgMar w:top="1440" w:right="1800" w:bottom="1440" w:left="1800" w:header="851" w:footer="992" w:gutter="0"/>
      <w:pgNumType w:fmt="decimal" w:start="1"/>
      <w:cols w:space="720" w:num="1"/>
      <w:titlePg/>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 wne:kcmPrimary="0451">
      <wne:acd wne:acdName="acd3"/>
    </wne:keymap>
    <wne:keymap wne:kcmPrimary="0454">
      <wne:acd wne:acdName="acd4"/>
    </wne:keymap>
    <wne:keymap wne:kcmPrimary="045A">
      <wne:acd wne:acdName="acd5"/>
    </wne:keymap>
  </wne:keymaps>
  <wne:acds>
    <wne:acd wne:argValue="AQAAAAEA" wne:acdName="acd0" wne:fciIndexBasedOn="0065"/>
    <wne:acd wne:argValue="AQAAAAIA" wne:acdName="acd1" wne:fciIndexBasedOn="0065"/>
    <wne:acd wne:argValue="AQAAAAMA" wne:acdName="acd2" wne:fciIndexBasedOn="0065"/>
    <wne:acd wne:argValue="AQAAAFgA" wne:acdName="acd3" wne:fciIndexBasedOn="0065"/>
    <wne:acd wne:argValue="AgBoiDxo" wne:acdName="acd4" wne:fciIndexBasedOn="0065"/>
    <wne:acd wne:argValue="AgBja4dlMQA=" wne:acdName="acd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DejaVu Sans">
    <w:altName w:val="Traditional Arabic"/>
    <w:panose1 w:val="02020603050405020304"/>
    <w:charset w:val="00"/>
    <w:family w:val="roman"/>
    <w:pitch w:val="default"/>
    <w:sig w:usb0="00000000" w:usb1="00000000" w:usb2="00000008" w:usb3="00000000" w:csb0="000001FF" w:csb1="00000000"/>
  </w:font>
  <w:font w:name="方正书宋_GBK">
    <w:altName w:val="微软雅黑"/>
    <w:panose1 w:val="02000000000000000000"/>
    <w:charset w:val="86"/>
    <w:family w:val="auto"/>
    <w:pitch w:val="default"/>
    <w:sig w:usb0="00000000" w:usb1="00000000" w:usb2="00082016" w:usb3="00000000" w:csb0="00040001" w:csb1="00000000"/>
  </w:font>
  <w:font w:name="方正黑体_GBK">
    <w:panose1 w:val="03000509000000000000"/>
    <w:charset w:val="86"/>
    <w:family w:val="auto"/>
    <w:pitch w:val="default"/>
    <w:sig w:usb0="00000001" w:usb1="080E0000" w:usb2="00000000" w:usb3="00000000" w:csb0="00040000" w:csb1="00000000"/>
  </w:font>
  <w:font w:name="汉仪书宋二KW">
    <w:altName w:val="宋体"/>
    <w:panose1 w:val="00020600040101010101"/>
    <w:charset w:val="86"/>
    <w:family w:val="auto"/>
    <w:pitch w:val="default"/>
    <w:sig w:usb0="00000000" w:usb1="00000000" w:usb2="00000016" w:usb3="00000000" w:csb0="00040000" w:csb1="00000000"/>
  </w:font>
  <w:font w:name="苹方-简">
    <w:altName w:val="宋体"/>
    <w:panose1 w:val="020B0400000000000000"/>
    <w:charset w:val="86"/>
    <w:family w:val="auto"/>
    <w:pitch w:val="default"/>
    <w:sig w:usb0="00000000" w:usb1="00000000" w:usb2="00000017" w:usb3="00000000" w:csb0="00040001" w:csb1="00000000"/>
  </w:font>
  <w:font w:name="Helvetica Neue">
    <w:altName w:val="Corbel"/>
    <w:panose1 w:val="02000503000000020004"/>
    <w:charset w:val="00"/>
    <w:family w:val="auto"/>
    <w:pitch w:val="default"/>
    <w:sig w:usb0="00000000" w:usb1="00000000" w:usb2="0000001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altName w:val="宋体"/>
    <w:panose1 w:val="00000000000000000000"/>
    <w:charset w:val="86"/>
    <w:family w:val="roman"/>
    <w:pitch w:val="default"/>
    <w:sig w:usb0="00000000" w:usb1="00000000" w:usb2="00000010" w:usb3="00000000" w:csb0="00040000" w:csb1="00000000"/>
  </w:font>
  <w:font w:name="方正仿宋_GBK">
    <w:panose1 w:val="03000509000000000000"/>
    <w:charset w:val="86"/>
    <w:family w:val="auto"/>
    <w:pitch w:val="default"/>
    <w:sig w:usb0="00000001" w:usb1="080E0000" w:usb2="00000000" w:usb3="00000000" w:csb0="00040000" w:csb1="00000000"/>
  </w:font>
  <w:font w:name="汉仪中黑KW">
    <w:altName w:val="黑体"/>
    <w:panose1 w:val="00020600040101010101"/>
    <w:charset w:val="86"/>
    <w:family w:val="auto"/>
    <w:pitch w:val="default"/>
    <w:sig w:usb0="00000000" w:usb1="00000000" w:usb2="00000016" w:usb3="00000000" w:csb0="00040000" w:csb1="00000000"/>
  </w:font>
  <w:font w:name="汉仪楷体简">
    <w:altName w:val="宋体"/>
    <w:panose1 w:val="02010600000101010101"/>
    <w:charset w:val="86"/>
    <w:family w:val="auto"/>
    <w:pitch w:val="default"/>
    <w:sig w:usb0="00000000" w:usb1="00000000" w:usb2="00000002" w:usb3="00000000" w:csb0="00040000" w:csb1="00000000"/>
  </w:font>
  <w:font w:name="PingFangHK">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汉仪中等线KW">
    <w:altName w:val="宋体"/>
    <w:panose1 w:val="01010104010101010101"/>
    <w:charset w:val="86"/>
    <w:family w:val="auto"/>
    <w:pitch w:val="default"/>
    <w:sig w:usb0="00000000" w:usb1="00000000" w:usb2="00000000" w:usb3="00000000" w:csb0="00040001" w:csb1="00000000"/>
  </w:font>
  <w:font w:name="汉仪楷体KW">
    <w:altName w:val="宋体"/>
    <w:panose1 w:val="00020600040101010101"/>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80F3C52" w:usb2="00000016" w:usb3="00000000" w:csb0="0004001F" w:csb1="00000000"/>
  </w:font>
  <w:font w:name="Traditional Arabic">
    <w:panose1 w:val="02020603050405020304"/>
    <w:charset w:val="00"/>
    <w:family w:val="auto"/>
    <w:pitch w:val="default"/>
    <w:sig w:usb0="00006003" w:usb1="80000000" w:usb2="00000008" w:usb3="00000000" w:csb0="00000041" w:csb1="20080000"/>
  </w:font>
  <w:font w:name="Corbel">
    <w:panose1 w:val="020B0503020204020204"/>
    <w:charset w:val="00"/>
    <w:family w:val="auto"/>
    <w:pitch w:val="default"/>
    <w:sig w:usb0="A00002EF" w:usb1="4000A44B" w:usb2="00000000" w:usb3="00000000" w:csb0="2000019F"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方正大标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right"/>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8420" cy="139700"/>
              <wp:effectExtent l="0" t="0" r="0" b="0"/>
              <wp:wrapNone/>
              <wp:docPr id="2" name="文本框1"/>
              <wp:cNvGraphicFramePr/>
              <a:graphic xmlns:a="http://schemas.openxmlformats.org/drawingml/2006/main">
                <a:graphicData uri="http://schemas.microsoft.com/office/word/2010/wordprocessingShape">
                  <wps:wsp>
                    <wps:cNvSpPr>
                      <a:spLocks noChangeArrowheads="1"/>
                    </wps:cNvSpPr>
                    <wps:spPr bwMode="auto">
                      <a:xfrm>
                        <a:off x="0" y="0"/>
                        <a:ext cx="58420" cy="139700"/>
                      </a:xfrm>
                      <a:prstGeom prst="rect">
                        <a:avLst/>
                      </a:prstGeom>
                      <a:noFill/>
                      <a:ln>
                        <a:noFill/>
                      </a:ln>
                    </wps:spPr>
                    <wps:txbx>
                      <w:txbxContent>
                        <w:p>
                          <w:pPr>
                            <w:pStyle w:val="15"/>
                            <w:jc w:val="right"/>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t>257</w:t>
                          </w:r>
                          <w:r>
                            <w:rPr>
                              <w:rFonts w:ascii="Times New Roman" w:hAnsi="Times New Roman"/>
                            </w:rPr>
                            <w:fldChar w:fldCharType="end"/>
                          </w:r>
                        </w:p>
                      </w:txbxContent>
                    </wps:txbx>
                    <wps:bodyPr rot="0" vert="horz" wrap="none" lIns="0" tIns="0" rIns="0" bIns="0" anchor="t" anchorCtr="0" upright="1">
                      <a:spAutoFit/>
                    </wps:bodyPr>
                  </wps:wsp>
                </a:graphicData>
              </a:graphic>
            </wp:anchor>
          </w:drawing>
        </mc:Choice>
        <mc:Fallback>
          <w:pict>
            <v:rect id="文本框1" o:spid="_x0000_s1026" o:spt="1" style="position:absolute;left:0pt;margin-top:0pt;height:11pt;width:4.6pt;mso-position-horizontal:center;mso-position-horizontal-relative:margin;mso-wrap-style:none;z-index:251658240;mso-width-relative:page;mso-height-relative:page;" filled="f" stroked="f" coordsize="21600,21600" o:gfxdata="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kcZbZdAAAAACAQAA&#10;DwAAAAAAAAABACAAAAAiAAAAZHJzL2Rvd25yZXYueG1sUEsBAhQAFAAAAAgAh07iQHLN/t3oAQAA&#10;qAMAAA4AAAAAAAAAAQAgAAAAHwEAAGRycy9lMm9Eb2MueG1sUEsFBgAAAAAGAAYAWQEAAHkFAAAA&#10;AA==&#10;">
              <v:fill on="f" focussize="0,0"/>
              <v:stroke on="f"/>
              <v:imagedata o:title=""/>
              <o:lock v:ext="edit" aspectratio="f"/>
              <v:textbox inset="0mm,0mm,0mm,0mm" style="mso-fit-shape-to-text:t;">
                <w:txbxContent>
                  <w:p>
                    <w:pPr>
                      <w:pStyle w:val="15"/>
                      <w:jc w:val="right"/>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t>257</w:t>
                    </w:r>
                    <w:r>
                      <w:rPr>
                        <w:rFonts w:ascii="Times New Roman" w:hAnsi="Times New Roman"/>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945" cy="162560"/>
              <wp:effectExtent l="0" t="0" r="0" b="1270"/>
              <wp:wrapNone/>
              <wp:docPr id="1" name="文本框2"/>
              <wp:cNvGraphicFramePr/>
              <a:graphic xmlns:a="http://schemas.openxmlformats.org/drawingml/2006/main">
                <a:graphicData uri="http://schemas.microsoft.com/office/word/2010/wordprocessingShape">
                  <wps:wsp>
                    <wps:cNvSpPr>
                      <a:spLocks noChangeArrowheads="1"/>
                    </wps:cNvSpPr>
                    <wps:spPr bwMode="auto">
                      <a:xfrm>
                        <a:off x="0" y="0"/>
                        <a:ext cx="67945" cy="162560"/>
                      </a:xfrm>
                      <a:prstGeom prst="rect">
                        <a:avLst/>
                      </a:prstGeom>
                      <a:noFill/>
                      <a:ln>
                        <a:noFill/>
                      </a:ln>
                    </wps:spPr>
                    <wps:txbx>
                      <w:txbxContent>
                        <w:p>
                          <w:pPr>
                            <w:snapToGrid w:val="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t>1</w:t>
                          </w:r>
                          <w:r>
                            <w:rPr>
                              <w:rFonts w:ascii="Times New Roman" w:hAnsi="Times New Roman"/>
                              <w:sz w:val="18"/>
                              <w:szCs w:val="18"/>
                            </w:rPr>
                            <w:fldChar w:fldCharType="end"/>
                          </w:r>
                        </w:p>
                      </w:txbxContent>
                    </wps:txbx>
                    <wps:bodyPr rot="0" vert="horz" wrap="none" lIns="0" tIns="0" rIns="0" bIns="0" anchor="t" anchorCtr="0" upright="1">
                      <a:spAutoFit/>
                    </wps:bodyPr>
                  </wps:wsp>
                </a:graphicData>
              </a:graphic>
            </wp:anchor>
          </w:drawing>
        </mc:Choice>
        <mc:Fallback>
          <w:pict>
            <v:rect id="文本框2" o:spid="_x0000_s1026" o:spt="1" style="position:absolute;left:0pt;margin-top:0pt;height:12.8pt;width:5.35pt;mso-position-horizontal:center;mso-position-horizontal-relative:margin;mso-wrap-style:none;z-index:251659264;mso-width-relative:page;mso-height-relative:page;" filled="f" stroked="f" coordsize="21600,21600" o:gfxdata="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xaTI/RAAAAAwEA&#10;AA8AAAAAAAAAAQAgAAAAIgAAAGRycy9kb3ducmV2LnhtbFBLAQIUABQAAAAIAIdO4kCjB4Pw6AEA&#10;AKgDAAAOAAAAAAAAAAEAIAAAACABAABkcnMvZTJvRG9jLnhtbFBLBQYAAAAABgAGAFkBAAB6BQAA&#10;AAA=&#10;">
              <v:fill on="f" focussize="0,0"/>
              <v:stroke on="f"/>
              <v:imagedata o:title=""/>
              <o:lock v:ext="edit" aspectratio="f"/>
              <v:textbox inset="0mm,0mm,0mm,0mm" style="mso-fit-shape-to-text:t;">
                <w:txbxContent>
                  <w:p>
                    <w:pPr>
                      <w:snapToGrid w:val="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PAGE  \* MERGEFORMAT </w:instrText>
                    </w:r>
                    <w:r>
                      <w:rPr>
                        <w:rFonts w:ascii="Times New Roman" w:hAnsi="Times New Roman"/>
                        <w:sz w:val="18"/>
                        <w:szCs w:val="18"/>
                      </w:rPr>
                      <w:fldChar w:fldCharType="separate"/>
                    </w:r>
                    <w:r>
                      <w:t>1</w:t>
                    </w:r>
                    <w:r>
                      <w:rPr>
                        <w:rFonts w:ascii="Times New Roman" w:hAnsi="Times New Roman"/>
                        <w:sz w:val="18"/>
                        <w:szCs w:val="18"/>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71A9CE"/>
    <w:multiLevelType w:val="singleLevel"/>
    <w:tmpl w:val="F871A9CE"/>
    <w:lvl w:ilvl="0" w:tentative="0">
      <w:start w:val="1"/>
      <w:numFmt w:val="decimal"/>
      <w:pStyle w:val="51"/>
      <w:suff w:val="nothing"/>
      <w:lvlText w:val="（%1）"/>
      <w:lvlJc w:val="left"/>
      <w:pPr>
        <w:ind w:left="0" w:firstLine="40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abstractNum>
  <w:abstractNum w:abstractNumId="1">
    <w:nsid w:val="00000005"/>
    <w:multiLevelType w:val="multilevel"/>
    <w:tmpl w:val="00000005"/>
    <w:lvl w:ilvl="0" w:tentative="0">
      <w:start w:val="1"/>
      <w:numFmt w:val="decimal"/>
      <w:pStyle w:val="4"/>
      <w:lvlText w:val="%1."/>
      <w:lvlJc w:val="left"/>
      <w:pPr>
        <w:ind w:left="1247" w:hanging="567"/>
      </w:pPr>
      <w:rPr>
        <w:rFonts w:hint="default"/>
      </w:rPr>
    </w:lvl>
    <w:lvl w:ilvl="1" w:tentative="0">
      <w:start w:val="1"/>
      <w:numFmt w:val="lowerLetter"/>
      <w:lvlText w:val="%2)"/>
      <w:lvlJc w:val="left"/>
      <w:pPr>
        <w:tabs>
          <w:tab w:val="left" w:pos="840"/>
        </w:tabs>
        <w:ind w:left="840" w:hanging="420"/>
      </w:pPr>
      <w:rPr>
        <w:rFonts w:hint="default"/>
      </w:rPr>
    </w:lvl>
    <w:lvl w:ilvl="2" w:tentative="0">
      <w:start w:val="1"/>
      <w:numFmt w:val="none"/>
      <w:lvlText w:val="1."/>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decimal"/>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Roman"/>
      <w:lvlText w:val="%9."/>
      <w:lvlJc w:val="left"/>
      <w:pPr>
        <w:tabs>
          <w:tab w:val="left" w:pos="3780"/>
        </w:tabs>
        <w:ind w:left="3780" w:hanging="420"/>
      </w:pPr>
      <w:rPr>
        <w:rFonts w:hint="default"/>
      </w:rPr>
    </w:lvl>
  </w:abstractNum>
  <w:abstractNum w:abstractNumId="2">
    <w:nsid w:val="3C6F4AD3"/>
    <w:multiLevelType w:val="singleLevel"/>
    <w:tmpl w:val="3C6F4AD3"/>
    <w:lvl w:ilvl="0" w:tentative="0">
      <w:start w:val="1"/>
      <w:numFmt w:val="decimal"/>
      <w:pStyle w:val="5"/>
      <w:lvlText w:val="（%1）"/>
      <w:lvlJc w:val="left"/>
      <w:pPr>
        <w:ind w:left="420" w:hanging="420"/>
      </w:pPr>
      <w:rPr>
        <w:rFonts w:hint="default"/>
      </w:rPr>
    </w:lvl>
  </w:abstractNum>
  <w:abstractNum w:abstractNumId="3">
    <w:nsid w:val="5AAA79B6"/>
    <w:multiLevelType w:val="multilevel"/>
    <w:tmpl w:val="5AAA79B6"/>
    <w:lvl w:ilvl="0" w:tentative="0">
      <w:start w:val="1"/>
      <w:numFmt w:val="chineseCountingThousand"/>
      <w:lvlText w:val="(%1)"/>
      <w:lvlJc w:val="left"/>
      <w:pPr>
        <w:ind w:left="1022" w:hanging="420"/>
      </w:pPr>
      <w:rPr>
        <w:rFonts w:hint="eastAsia" w:ascii="楷体_GB2312" w:hAnsi="楷体" w:eastAsia="楷体_GB2312"/>
      </w:rPr>
    </w:lvl>
    <w:lvl w:ilvl="1" w:tentative="0">
      <w:start w:val="1"/>
      <w:numFmt w:val="lowerLetter"/>
      <w:lvlText w:val="%2)"/>
      <w:lvlJc w:val="left"/>
      <w:pPr>
        <w:ind w:left="1442" w:hanging="420"/>
      </w:pPr>
    </w:lvl>
    <w:lvl w:ilvl="2" w:tentative="0">
      <w:start w:val="1"/>
      <w:numFmt w:val="lowerRoman"/>
      <w:lvlText w:val="%3."/>
      <w:lvlJc w:val="right"/>
      <w:pPr>
        <w:ind w:left="1862" w:hanging="420"/>
      </w:pPr>
    </w:lvl>
    <w:lvl w:ilvl="3" w:tentative="0">
      <w:start w:val="1"/>
      <w:numFmt w:val="decimal"/>
      <w:lvlText w:val="%4."/>
      <w:lvlJc w:val="left"/>
      <w:pPr>
        <w:ind w:left="2282" w:hanging="420"/>
      </w:pPr>
    </w:lvl>
    <w:lvl w:ilvl="4" w:tentative="0">
      <w:start w:val="1"/>
      <w:numFmt w:val="lowerLetter"/>
      <w:lvlText w:val="%5)"/>
      <w:lvlJc w:val="left"/>
      <w:pPr>
        <w:ind w:left="2702" w:hanging="420"/>
      </w:pPr>
    </w:lvl>
    <w:lvl w:ilvl="5" w:tentative="0">
      <w:start w:val="1"/>
      <w:numFmt w:val="lowerRoman"/>
      <w:lvlText w:val="%6."/>
      <w:lvlJc w:val="right"/>
      <w:pPr>
        <w:ind w:left="3122" w:hanging="420"/>
      </w:pPr>
    </w:lvl>
    <w:lvl w:ilvl="6" w:tentative="0">
      <w:start w:val="1"/>
      <w:numFmt w:val="decimal"/>
      <w:lvlText w:val="%7."/>
      <w:lvlJc w:val="left"/>
      <w:pPr>
        <w:ind w:left="3542" w:hanging="420"/>
      </w:pPr>
    </w:lvl>
    <w:lvl w:ilvl="7" w:tentative="0">
      <w:start w:val="1"/>
      <w:numFmt w:val="lowerLetter"/>
      <w:lvlText w:val="%8)"/>
      <w:lvlJc w:val="left"/>
      <w:pPr>
        <w:ind w:left="3962" w:hanging="420"/>
      </w:pPr>
    </w:lvl>
    <w:lvl w:ilvl="8" w:tentative="0">
      <w:start w:val="1"/>
      <w:numFmt w:val="lowerRoman"/>
      <w:lvlText w:val="%9."/>
      <w:lvlJc w:val="right"/>
      <w:pPr>
        <w:ind w:left="4382" w:hanging="420"/>
      </w:pPr>
    </w:lvl>
  </w:abstractNum>
  <w:abstractNum w:abstractNumId="4">
    <w:nsid w:val="5C155FF6"/>
    <w:multiLevelType w:val="multilevel"/>
    <w:tmpl w:val="5C155FF6"/>
    <w:lvl w:ilvl="0" w:tentative="0">
      <w:start w:val="1"/>
      <w:numFmt w:val="chineseCountingThousand"/>
      <w:lvlText w:val="(%1)"/>
      <w:lvlJc w:val="left"/>
      <w:pPr>
        <w:ind w:left="1022" w:hanging="420"/>
      </w:pPr>
      <w:rPr>
        <w:rFonts w:hint="eastAsia" w:ascii="楷体_GB2312" w:hAnsi="楷体" w:eastAsia="楷体_GB2312"/>
      </w:rPr>
    </w:lvl>
    <w:lvl w:ilvl="1" w:tentative="0">
      <w:start w:val="1"/>
      <w:numFmt w:val="lowerLetter"/>
      <w:lvlText w:val="%2)"/>
      <w:lvlJc w:val="left"/>
      <w:pPr>
        <w:ind w:left="1442" w:hanging="420"/>
      </w:pPr>
    </w:lvl>
    <w:lvl w:ilvl="2" w:tentative="0">
      <w:start w:val="1"/>
      <w:numFmt w:val="lowerRoman"/>
      <w:lvlText w:val="%3."/>
      <w:lvlJc w:val="right"/>
      <w:pPr>
        <w:ind w:left="1862" w:hanging="420"/>
      </w:pPr>
    </w:lvl>
    <w:lvl w:ilvl="3" w:tentative="0">
      <w:start w:val="1"/>
      <w:numFmt w:val="decimal"/>
      <w:lvlText w:val="%4."/>
      <w:lvlJc w:val="left"/>
      <w:pPr>
        <w:ind w:left="2282" w:hanging="420"/>
      </w:pPr>
    </w:lvl>
    <w:lvl w:ilvl="4" w:tentative="0">
      <w:start w:val="1"/>
      <w:numFmt w:val="lowerLetter"/>
      <w:lvlText w:val="%5)"/>
      <w:lvlJc w:val="left"/>
      <w:pPr>
        <w:ind w:left="2702" w:hanging="420"/>
      </w:pPr>
    </w:lvl>
    <w:lvl w:ilvl="5" w:tentative="0">
      <w:start w:val="1"/>
      <w:numFmt w:val="lowerRoman"/>
      <w:lvlText w:val="%6."/>
      <w:lvlJc w:val="right"/>
      <w:pPr>
        <w:ind w:left="3122" w:hanging="420"/>
      </w:pPr>
    </w:lvl>
    <w:lvl w:ilvl="6" w:tentative="0">
      <w:start w:val="1"/>
      <w:numFmt w:val="decimal"/>
      <w:lvlText w:val="%7."/>
      <w:lvlJc w:val="left"/>
      <w:pPr>
        <w:ind w:left="3542" w:hanging="420"/>
      </w:pPr>
    </w:lvl>
    <w:lvl w:ilvl="7" w:tentative="0">
      <w:start w:val="1"/>
      <w:numFmt w:val="lowerLetter"/>
      <w:lvlText w:val="%8)"/>
      <w:lvlJc w:val="left"/>
      <w:pPr>
        <w:ind w:left="3962" w:hanging="420"/>
      </w:pPr>
    </w:lvl>
    <w:lvl w:ilvl="8" w:tentative="0">
      <w:start w:val="1"/>
      <w:numFmt w:val="lowerRoman"/>
      <w:lvlText w:val="%9."/>
      <w:lvlJc w:val="right"/>
      <w:pPr>
        <w:ind w:left="4382" w:hanging="420"/>
      </w:pPr>
    </w:lvl>
  </w:abstractNum>
  <w:abstractNum w:abstractNumId="5">
    <w:nsid w:val="5FE45030"/>
    <w:multiLevelType w:val="multilevel"/>
    <w:tmpl w:val="5FE45030"/>
    <w:lvl w:ilvl="0" w:tentative="0">
      <w:start w:val="1"/>
      <w:numFmt w:val="decimal"/>
      <w:lvlText w:val="%1."/>
      <w:lvlJc w:val="left"/>
      <w:pPr>
        <w:ind w:left="0" w:firstLine="568"/>
      </w:pPr>
      <w:rPr>
        <w:rFonts w:hint="eastAsia"/>
      </w:rPr>
    </w:lvl>
    <w:lvl w:ilvl="1" w:tentative="0">
      <w:start w:val="1"/>
      <w:numFmt w:val="lowerLetter"/>
      <w:lvlText w:val="%2)"/>
      <w:lvlJc w:val="left"/>
      <w:pPr>
        <w:tabs>
          <w:tab w:val="left" w:pos="1403"/>
        </w:tabs>
        <w:ind w:left="1408" w:hanging="420"/>
      </w:pPr>
      <w:rPr>
        <w:rFonts w:hint="default"/>
      </w:rPr>
    </w:lvl>
    <w:lvl w:ilvl="2" w:tentative="0">
      <w:start w:val="1"/>
      <w:numFmt w:val="lowerRoman"/>
      <w:lvlText w:val="%3."/>
      <w:lvlJc w:val="left"/>
      <w:pPr>
        <w:tabs>
          <w:tab w:val="left" w:pos="1823"/>
        </w:tabs>
        <w:ind w:left="1828" w:hanging="420"/>
      </w:pPr>
      <w:rPr>
        <w:rFonts w:hint="default"/>
      </w:rPr>
    </w:lvl>
    <w:lvl w:ilvl="3" w:tentative="0">
      <w:start w:val="1"/>
      <w:numFmt w:val="decimal"/>
      <w:lvlText w:val="%4."/>
      <w:lvlJc w:val="left"/>
      <w:pPr>
        <w:tabs>
          <w:tab w:val="left" w:pos="2243"/>
        </w:tabs>
        <w:ind w:left="2248" w:hanging="420"/>
      </w:pPr>
      <w:rPr>
        <w:rFonts w:hint="default"/>
      </w:rPr>
    </w:lvl>
    <w:lvl w:ilvl="4" w:tentative="0">
      <w:start w:val="1"/>
      <w:numFmt w:val="lowerLetter"/>
      <w:lvlText w:val="%5)"/>
      <w:lvlJc w:val="left"/>
      <w:pPr>
        <w:tabs>
          <w:tab w:val="left" w:pos="2663"/>
        </w:tabs>
        <w:ind w:left="2668" w:hanging="420"/>
      </w:pPr>
      <w:rPr>
        <w:rFonts w:hint="default"/>
      </w:rPr>
    </w:lvl>
    <w:lvl w:ilvl="5" w:tentative="0">
      <w:start w:val="1"/>
      <w:numFmt w:val="lowerRoman"/>
      <w:lvlText w:val="%6."/>
      <w:lvlJc w:val="left"/>
      <w:pPr>
        <w:tabs>
          <w:tab w:val="left" w:pos="3083"/>
        </w:tabs>
        <w:ind w:left="3088" w:hanging="420"/>
      </w:pPr>
      <w:rPr>
        <w:rFonts w:hint="default"/>
      </w:rPr>
    </w:lvl>
    <w:lvl w:ilvl="6" w:tentative="0">
      <w:start w:val="1"/>
      <w:numFmt w:val="decimal"/>
      <w:lvlText w:val="%7."/>
      <w:lvlJc w:val="left"/>
      <w:pPr>
        <w:tabs>
          <w:tab w:val="left" w:pos="3503"/>
        </w:tabs>
        <w:ind w:left="3508" w:hanging="420"/>
      </w:pPr>
      <w:rPr>
        <w:rFonts w:hint="default"/>
      </w:rPr>
    </w:lvl>
    <w:lvl w:ilvl="7" w:tentative="0">
      <w:start w:val="1"/>
      <w:numFmt w:val="lowerLetter"/>
      <w:lvlText w:val="%8)"/>
      <w:lvlJc w:val="left"/>
      <w:pPr>
        <w:tabs>
          <w:tab w:val="left" w:pos="3923"/>
        </w:tabs>
        <w:ind w:left="3928" w:hanging="420"/>
      </w:pPr>
      <w:rPr>
        <w:rFonts w:hint="default"/>
      </w:rPr>
    </w:lvl>
    <w:lvl w:ilvl="8" w:tentative="0">
      <w:start w:val="1"/>
      <w:numFmt w:val="lowerRoman"/>
      <w:lvlText w:val="%9."/>
      <w:lvlJc w:val="left"/>
      <w:pPr>
        <w:tabs>
          <w:tab w:val="left" w:pos="4343"/>
        </w:tabs>
        <w:ind w:left="4348" w:hanging="420"/>
      </w:pPr>
      <w:rPr>
        <w:rFonts w:hint="default"/>
      </w:rPr>
    </w:lvl>
  </w:abstractNum>
  <w:abstractNum w:abstractNumId="6">
    <w:nsid w:val="75E05952"/>
    <w:multiLevelType w:val="multilevel"/>
    <w:tmpl w:val="75E0595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8C742CD"/>
    <w:multiLevelType w:val="singleLevel"/>
    <w:tmpl w:val="78C742CD"/>
    <w:lvl w:ilvl="0" w:tentative="0">
      <w:start w:val="1"/>
      <w:numFmt w:val="decimal"/>
      <w:pStyle w:val="6"/>
      <w:lvlText w:val="（%1）"/>
      <w:lvlJc w:val="right"/>
      <w:pPr>
        <w:ind w:left="620" w:hanging="420"/>
      </w:pPr>
      <w:rPr>
        <w:rFonts w:hint="default"/>
      </w:rPr>
    </w:lvl>
  </w:abstractNum>
  <w:num w:numId="1">
    <w:abstractNumId w:val="1"/>
  </w:num>
  <w:num w:numId="2">
    <w:abstractNumId w:val="2"/>
  </w:num>
  <w:num w:numId="3">
    <w:abstractNumId w:val="7"/>
  </w:num>
  <w:num w:numId="4">
    <w:abstractNumId w:val="0"/>
  </w:num>
  <w:num w:numId="5">
    <w:abstractNumId w:val="6"/>
  </w:num>
  <w:num w:numId="6">
    <w:abstractNumId w:val="4"/>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1"/>
    </w:lvlOverride>
  </w:num>
  <w:num w:numId="12">
    <w:abstractNumId w:val="0"/>
    <w:lvlOverride w:ilvl="0">
      <w:startOverride w:val="1"/>
    </w:lvlOverride>
  </w:num>
  <w:num w:numId="13">
    <w:abstractNumId w:val="0"/>
    <w:lvlOverride w:ilvl="0">
      <w:startOverride w:val="1"/>
    </w:lvlOverride>
  </w:num>
  <w:num w:numId="14">
    <w:abstractNumId w:val="0"/>
    <w:lvlOverride w:ilvl="0">
      <w:startOverride w:val="1"/>
    </w:lvlOverride>
  </w:num>
  <w:num w:numId="15">
    <w:abstractNumId w:val="0"/>
    <w:lvlOverride w:ilvl="0">
      <w:startOverride w:val="1"/>
    </w:lvlOverride>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 w:numId="21">
    <w:abstractNumId w:val="0"/>
    <w:lvlOverride w:ilvl="0">
      <w:startOverride w:val="1"/>
    </w:lvlOverride>
  </w:num>
  <w:num w:numId="22">
    <w:abstractNumId w:val="0"/>
    <w:lvlOverride w:ilvl="0">
      <w:startOverride w:val="1"/>
    </w:lvlOverride>
  </w:num>
  <w:num w:numId="23">
    <w:abstractNumId w:val="0"/>
    <w:lvlOverride w:ilvl="0">
      <w:startOverride w:val="1"/>
    </w:lvlOverride>
  </w:num>
  <w:num w:numId="24">
    <w:abstractNumId w:val="0"/>
    <w:lvlOverride w:ilvl="0">
      <w:startOverride w:val="1"/>
    </w:lvlOverride>
  </w:num>
  <w:num w:numId="25">
    <w:abstractNumId w:val="0"/>
    <w:lvlOverride w:ilvl="0">
      <w:startOverride w:val="1"/>
    </w:lvlOverride>
  </w:num>
  <w:num w:numId="26">
    <w:abstractNumId w:val="0"/>
    <w:lvlOverride w:ilvl="0">
      <w:startOverride w:val="1"/>
    </w:lvlOverride>
  </w:num>
  <w:num w:numId="27">
    <w:abstractNumId w:val="0"/>
    <w:lvlOverride w:ilvl="0">
      <w:startOverride w:val="1"/>
    </w:lvlOverride>
  </w:num>
  <w:num w:numId="28">
    <w:abstractNumId w:val="0"/>
    <w:lvlOverride w:ilvl="0">
      <w:startOverride w:val="1"/>
    </w:lvlOverride>
  </w:num>
  <w:num w:numId="29">
    <w:abstractNumId w:val="3"/>
  </w:num>
  <w:num w:numId="30">
    <w:abstractNumId w:val="5"/>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attachedTemplate r:id="rId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DA8"/>
    <w:rsid w:val="00015293"/>
    <w:rsid w:val="00021C84"/>
    <w:rsid w:val="00024241"/>
    <w:rsid w:val="00024E3B"/>
    <w:rsid w:val="000265E3"/>
    <w:rsid w:val="00061361"/>
    <w:rsid w:val="0006296A"/>
    <w:rsid w:val="000658F8"/>
    <w:rsid w:val="00087DA0"/>
    <w:rsid w:val="000948A0"/>
    <w:rsid w:val="000973AE"/>
    <w:rsid w:val="000A3542"/>
    <w:rsid w:val="000A45B0"/>
    <w:rsid w:val="000B4167"/>
    <w:rsid w:val="000B5B05"/>
    <w:rsid w:val="000B75E0"/>
    <w:rsid w:val="000C3CDB"/>
    <w:rsid w:val="000C593E"/>
    <w:rsid w:val="000D0DF7"/>
    <w:rsid w:val="000D463E"/>
    <w:rsid w:val="000D7C58"/>
    <w:rsid w:val="000E5F0B"/>
    <w:rsid w:val="000F0905"/>
    <w:rsid w:val="000F1B7E"/>
    <w:rsid w:val="00100E77"/>
    <w:rsid w:val="0010188D"/>
    <w:rsid w:val="001076DA"/>
    <w:rsid w:val="0011158B"/>
    <w:rsid w:val="00111839"/>
    <w:rsid w:val="0011337F"/>
    <w:rsid w:val="00113F2E"/>
    <w:rsid w:val="00114315"/>
    <w:rsid w:val="00122234"/>
    <w:rsid w:val="00122D2D"/>
    <w:rsid w:val="00123F3D"/>
    <w:rsid w:val="00131553"/>
    <w:rsid w:val="001318E3"/>
    <w:rsid w:val="001319A1"/>
    <w:rsid w:val="00133C32"/>
    <w:rsid w:val="001346EB"/>
    <w:rsid w:val="0013536F"/>
    <w:rsid w:val="00144B47"/>
    <w:rsid w:val="00146439"/>
    <w:rsid w:val="0015316D"/>
    <w:rsid w:val="001641CC"/>
    <w:rsid w:val="00172859"/>
    <w:rsid w:val="00172A27"/>
    <w:rsid w:val="0017400B"/>
    <w:rsid w:val="001753B9"/>
    <w:rsid w:val="001A5C77"/>
    <w:rsid w:val="001A7226"/>
    <w:rsid w:val="001B3939"/>
    <w:rsid w:val="001B64BF"/>
    <w:rsid w:val="001C1331"/>
    <w:rsid w:val="001C260B"/>
    <w:rsid w:val="001C46D9"/>
    <w:rsid w:val="001D4654"/>
    <w:rsid w:val="001D47D3"/>
    <w:rsid w:val="001E1D57"/>
    <w:rsid w:val="001F01AE"/>
    <w:rsid w:val="001F2C82"/>
    <w:rsid w:val="001F2EAA"/>
    <w:rsid w:val="001F490A"/>
    <w:rsid w:val="0020566D"/>
    <w:rsid w:val="002210D6"/>
    <w:rsid w:val="002350A2"/>
    <w:rsid w:val="002377B2"/>
    <w:rsid w:val="00242483"/>
    <w:rsid w:val="0024646C"/>
    <w:rsid w:val="00247ABB"/>
    <w:rsid w:val="00263E8A"/>
    <w:rsid w:val="00264291"/>
    <w:rsid w:val="00266928"/>
    <w:rsid w:val="00270485"/>
    <w:rsid w:val="00275A11"/>
    <w:rsid w:val="0029323D"/>
    <w:rsid w:val="002A4B4C"/>
    <w:rsid w:val="002B34EB"/>
    <w:rsid w:val="002B5082"/>
    <w:rsid w:val="002C3363"/>
    <w:rsid w:val="002C720B"/>
    <w:rsid w:val="002D0EF1"/>
    <w:rsid w:val="002D104B"/>
    <w:rsid w:val="002D1962"/>
    <w:rsid w:val="002D24B0"/>
    <w:rsid w:val="002E0837"/>
    <w:rsid w:val="002E265F"/>
    <w:rsid w:val="002E5B97"/>
    <w:rsid w:val="002E60A9"/>
    <w:rsid w:val="002E7A90"/>
    <w:rsid w:val="002F2ADD"/>
    <w:rsid w:val="00300089"/>
    <w:rsid w:val="00301FFB"/>
    <w:rsid w:val="00302177"/>
    <w:rsid w:val="00302D69"/>
    <w:rsid w:val="00311486"/>
    <w:rsid w:val="00315899"/>
    <w:rsid w:val="00316AA9"/>
    <w:rsid w:val="00317C53"/>
    <w:rsid w:val="00320EA9"/>
    <w:rsid w:val="0032564B"/>
    <w:rsid w:val="00325D7F"/>
    <w:rsid w:val="00327CBC"/>
    <w:rsid w:val="00327F32"/>
    <w:rsid w:val="003352BD"/>
    <w:rsid w:val="003367A2"/>
    <w:rsid w:val="00343946"/>
    <w:rsid w:val="003473DD"/>
    <w:rsid w:val="00365816"/>
    <w:rsid w:val="003658A0"/>
    <w:rsid w:val="0036617F"/>
    <w:rsid w:val="00367DDE"/>
    <w:rsid w:val="00372377"/>
    <w:rsid w:val="00373713"/>
    <w:rsid w:val="00382A0B"/>
    <w:rsid w:val="00385B8C"/>
    <w:rsid w:val="003A1048"/>
    <w:rsid w:val="003A5108"/>
    <w:rsid w:val="003A72B1"/>
    <w:rsid w:val="003B597D"/>
    <w:rsid w:val="003B5CC9"/>
    <w:rsid w:val="003C60A6"/>
    <w:rsid w:val="003E1AEB"/>
    <w:rsid w:val="003F128B"/>
    <w:rsid w:val="003F4B24"/>
    <w:rsid w:val="003F57F9"/>
    <w:rsid w:val="00404267"/>
    <w:rsid w:val="00407CD6"/>
    <w:rsid w:val="00407FE8"/>
    <w:rsid w:val="00412926"/>
    <w:rsid w:val="00433CD1"/>
    <w:rsid w:val="004375A6"/>
    <w:rsid w:val="00443454"/>
    <w:rsid w:val="00453691"/>
    <w:rsid w:val="004551FC"/>
    <w:rsid w:val="0045607F"/>
    <w:rsid w:val="00462493"/>
    <w:rsid w:val="00466FFE"/>
    <w:rsid w:val="0047440D"/>
    <w:rsid w:val="004906A8"/>
    <w:rsid w:val="004A682B"/>
    <w:rsid w:val="004B0B47"/>
    <w:rsid w:val="004B1E75"/>
    <w:rsid w:val="004B6B36"/>
    <w:rsid w:val="004C31F2"/>
    <w:rsid w:val="004C539E"/>
    <w:rsid w:val="004C63D5"/>
    <w:rsid w:val="004D373C"/>
    <w:rsid w:val="004D74F4"/>
    <w:rsid w:val="004E15AB"/>
    <w:rsid w:val="004E2A34"/>
    <w:rsid w:val="0050383E"/>
    <w:rsid w:val="00506898"/>
    <w:rsid w:val="0051093B"/>
    <w:rsid w:val="00524CBE"/>
    <w:rsid w:val="0052643C"/>
    <w:rsid w:val="00536F81"/>
    <w:rsid w:val="00542C80"/>
    <w:rsid w:val="00544506"/>
    <w:rsid w:val="00544785"/>
    <w:rsid w:val="00547058"/>
    <w:rsid w:val="005505B5"/>
    <w:rsid w:val="0055737C"/>
    <w:rsid w:val="005579CF"/>
    <w:rsid w:val="005607BF"/>
    <w:rsid w:val="005623A1"/>
    <w:rsid w:val="005736C1"/>
    <w:rsid w:val="00574658"/>
    <w:rsid w:val="005748D3"/>
    <w:rsid w:val="00581005"/>
    <w:rsid w:val="00583F87"/>
    <w:rsid w:val="005A26DB"/>
    <w:rsid w:val="005A662F"/>
    <w:rsid w:val="005A7C4A"/>
    <w:rsid w:val="005B15C0"/>
    <w:rsid w:val="005C48BF"/>
    <w:rsid w:val="005C52D7"/>
    <w:rsid w:val="005C5DC7"/>
    <w:rsid w:val="005C68C1"/>
    <w:rsid w:val="005D3AFA"/>
    <w:rsid w:val="005F08CB"/>
    <w:rsid w:val="005F2215"/>
    <w:rsid w:val="005F4D62"/>
    <w:rsid w:val="005F5FCE"/>
    <w:rsid w:val="005F6FEB"/>
    <w:rsid w:val="005F78D7"/>
    <w:rsid w:val="00600B49"/>
    <w:rsid w:val="00612634"/>
    <w:rsid w:val="00612B7B"/>
    <w:rsid w:val="006317F9"/>
    <w:rsid w:val="00641A42"/>
    <w:rsid w:val="00645BEA"/>
    <w:rsid w:val="00666230"/>
    <w:rsid w:val="00671541"/>
    <w:rsid w:val="00696B38"/>
    <w:rsid w:val="00697935"/>
    <w:rsid w:val="006C002A"/>
    <w:rsid w:val="006C3B0C"/>
    <w:rsid w:val="006C651F"/>
    <w:rsid w:val="006D2751"/>
    <w:rsid w:val="006E07A8"/>
    <w:rsid w:val="006E1DBE"/>
    <w:rsid w:val="006E2D15"/>
    <w:rsid w:val="006E4FE2"/>
    <w:rsid w:val="006E5D10"/>
    <w:rsid w:val="006F17CD"/>
    <w:rsid w:val="006F2607"/>
    <w:rsid w:val="006F46D4"/>
    <w:rsid w:val="006F7DBD"/>
    <w:rsid w:val="00705EE7"/>
    <w:rsid w:val="00710C70"/>
    <w:rsid w:val="00711294"/>
    <w:rsid w:val="00711A3A"/>
    <w:rsid w:val="00721E2C"/>
    <w:rsid w:val="00723DE6"/>
    <w:rsid w:val="00730FDF"/>
    <w:rsid w:val="007429B4"/>
    <w:rsid w:val="00752350"/>
    <w:rsid w:val="007614F6"/>
    <w:rsid w:val="00762864"/>
    <w:rsid w:val="00767630"/>
    <w:rsid w:val="0078083F"/>
    <w:rsid w:val="00782ADA"/>
    <w:rsid w:val="00786B19"/>
    <w:rsid w:val="00792A8E"/>
    <w:rsid w:val="007A0D4E"/>
    <w:rsid w:val="007A61F3"/>
    <w:rsid w:val="007B0728"/>
    <w:rsid w:val="007B469C"/>
    <w:rsid w:val="007C71BA"/>
    <w:rsid w:val="007E1D5B"/>
    <w:rsid w:val="00800EBA"/>
    <w:rsid w:val="008061A3"/>
    <w:rsid w:val="00811DA0"/>
    <w:rsid w:val="008140D7"/>
    <w:rsid w:val="00833B8A"/>
    <w:rsid w:val="00841325"/>
    <w:rsid w:val="00850984"/>
    <w:rsid w:val="008538BF"/>
    <w:rsid w:val="00853D24"/>
    <w:rsid w:val="00857109"/>
    <w:rsid w:val="00857F9E"/>
    <w:rsid w:val="008676C0"/>
    <w:rsid w:val="00884E59"/>
    <w:rsid w:val="00890A3C"/>
    <w:rsid w:val="008B0BB5"/>
    <w:rsid w:val="008B4F6B"/>
    <w:rsid w:val="008C0D40"/>
    <w:rsid w:val="008C3BB5"/>
    <w:rsid w:val="008D10EE"/>
    <w:rsid w:val="008D1198"/>
    <w:rsid w:val="008D1B58"/>
    <w:rsid w:val="008E3401"/>
    <w:rsid w:val="008E6012"/>
    <w:rsid w:val="008E7D70"/>
    <w:rsid w:val="008F644C"/>
    <w:rsid w:val="00900681"/>
    <w:rsid w:val="00903668"/>
    <w:rsid w:val="009169FC"/>
    <w:rsid w:val="00923A84"/>
    <w:rsid w:val="00923BAB"/>
    <w:rsid w:val="00926E72"/>
    <w:rsid w:val="00927D6C"/>
    <w:rsid w:val="00927E4B"/>
    <w:rsid w:val="00927ED5"/>
    <w:rsid w:val="00951DD5"/>
    <w:rsid w:val="00954196"/>
    <w:rsid w:val="009541CA"/>
    <w:rsid w:val="009577FE"/>
    <w:rsid w:val="00960FC8"/>
    <w:rsid w:val="00961AC6"/>
    <w:rsid w:val="00966C05"/>
    <w:rsid w:val="0096797E"/>
    <w:rsid w:val="00972985"/>
    <w:rsid w:val="00976C25"/>
    <w:rsid w:val="00995553"/>
    <w:rsid w:val="0099616D"/>
    <w:rsid w:val="009A660D"/>
    <w:rsid w:val="009D0410"/>
    <w:rsid w:val="009D0666"/>
    <w:rsid w:val="009D3060"/>
    <w:rsid w:val="009D5F1C"/>
    <w:rsid w:val="009E21B3"/>
    <w:rsid w:val="009E2497"/>
    <w:rsid w:val="009F270A"/>
    <w:rsid w:val="009F3324"/>
    <w:rsid w:val="009F3C83"/>
    <w:rsid w:val="009F6A9F"/>
    <w:rsid w:val="009F7DDE"/>
    <w:rsid w:val="00A117E1"/>
    <w:rsid w:val="00A24210"/>
    <w:rsid w:val="00A2717D"/>
    <w:rsid w:val="00A3339C"/>
    <w:rsid w:val="00A34A31"/>
    <w:rsid w:val="00A352F7"/>
    <w:rsid w:val="00A36A5B"/>
    <w:rsid w:val="00A55DAE"/>
    <w:rsid w:val="00A618CB"/>
    <w:rsid w:val="00A647C0"/>
    <w:rsid w:val="00A70BA0"/>
    <w:rsid w:val="00A70F44"/>
    <w:rsid w:val="00A847B7"/>
    <w:rsid w:val="00A963E4"/>
    <w:rsid w:val="00AA0046"/>
    <w:rsid w:val="00AA3E32"/>
    <w:rsid w:val="00AB21CF"/>
    <w:rsid w:val="00AC7886"/>
    <w:rsid w:val="00AD043A"/>
    <w:rsid w:val="00AD0BFE"/>
    <w:rsid w:val="00AD1C1C"/>
    <w:rsid w:val="00AD567F"/>
    <w:rsid w:val="00AE5398"/>
    <w:rsid w:val="00AE6094"/>
    <w:rsid w:val="00AF2ECD"/>
    <w:rsid w:val="00AF6E03"/>
    <w:rsid w:val="00B0182E"/>
    <w:rsid w:val="00B03A71"/>
    <w:rsid w:val="00B03B26"/>
    <w:rsid w:val="00B04B99"/>
    <w:rsid w:val="00B15A24"/>
    <w:rsid w:val="00B22074"/>
    <w:rsid w:val="00B271D0"/>
    <w:rsid w:val="00B312A7"/>
    <w:rsid w:val="00B34220"/>
    <w:rsid w:val="00B3743B"/>
    <w:rsid w:val="00B42CA0"/>
    <w:rsid w:val="00B47BD2"/>
    <w:rsid w:val="00B517BC"/>
    <w:rsid w:val="00B552D4"/>
    <w:rsid w:val="00B62350"/>
    <w:rsid w:val="00B646DF"/>
    <w:rsid w:val="00B81075"/>
    <w:rsid w:val="00B81CBD"/>
    <w:rsid w:val="00B86462"/>
    <w:rsid w:val="00B87483"/>
    <w:rsid w:val="00B9265F"/>
    <w:rsid w:val="00BA043A"/>
    <w:rsid w:val="00BA07EF"/>
    <w:rsid w:val="00BA48F4"/>
    <w:rsid w:val="00BA611F"/>
    <w:rsid w:val="00BA6A2F"/>
    <w:rsid w:val="00BC0B46"/>
    <w:rsid w:val="00BC2060"/>
    <w:rsid w:val="00BD5D04"/>
    <w:rsid w:val="00BD6736"/>
    <w:rsid w:val="00BE1469"/>
    <w:rsid w:val="00BE19EA"/>
    <w:rsid w:val="00BF5B8D"/>
    <w:rsid w:val="00C00A68"/>
    <w:rsid w:val="00C023BB"/>
    <w:rsid w:val="00C03067"/>
    <w:rsid w:val="00C142CC"/>
    <w:rsid w:val="00C1767D"/>
    <w:rsid w:val="00C24075"/>
    <w:rsid w:val="00C2582F"/>
    <w:rsid w:val="00C31D36"/>
    <w:rsid w:val="00C31F41"/>
    <w:rsid w:val="00C34184"/>
    <w:rsid w:val="00C36744"/>
    <w:rsid w:val="00C46E60"/>
    <w:rsid w:val="00C66232"/>
    <w:rsid w:val="00C6787F"/>
    <w:rsid w:val="00C74AED"/>
    <w:rsid w:val="00C851FE"/>
    <w:rsid w:val="00C85A23"/>
    <w:rsid w:val="00C8666F"/>
    <w:rsid w:val="00C87582"/>
    <w:rsid w:val="00C9043D"/>
    <w:rsid w:val="00CA346F"/>
    <w:rsid w:val="00CA4875"/>
    <w:rsid w:val="00CA69F1"/>
    <w:rsid w:val="00CB375E"/>
    <w:rsid w:val="00CC2AF5"/>
    <w:rsid w:val="00CC78A7"/>
    <w:rsid w:val="00CD2739"/>
    <w:rsid w:val="00CD3042"/>
    <w:rsid w:val="00CE00B9"/>
    <w:rsid w:val="00CE4D81"/>
    <w:rsid w:val="00CE6C84"/>
    <w:rsid w:val="00CF44DD"/>
    <w:rsid w:val="00D0679C"/>
    <w:rsid w:val="00D111F3"/>
    <w:rsid w:val="00D12194"/>
    <w:rsid w:val="00D249AB"/>
    <w:rsid w:val="00D24E40"/>
    <w:rsid w:val="00D44373"/>
    <w:rsid w:val="00D4734C"/>
    <w:rsid w:val="00D47FD8"/>
    <w:rsid w:val="00D50010"/>
    <w:rsid w:val="00D518FC"/>
    <w:rsid w:val="00D561A5"/>
    <w:rsid w:val="00D57D85"/>
    <w:rsid w:val="00D63BEC"/>
    <w:rsid w:val="00D71F61"/>
    <w:rsid w:val="00D731AE"/>
    <w:rsid w:val="00D74351"/>
    <w:rsid w:val="00D75A54"/>
    <w:rsid w:val="00D8337E"/>
    <w:rsid w:val="00D847FB"/>
    <w:rsid w:val="00D86CB6"/>
    <w:rsid w:val="00DA477D"/>
    <w:rsid w:val="00DC7096"/>
    <w:rsid w:val="00DD4774"/>
    <w:rsid w:val="00DD67B9"/>
    <w:rsid w:val="00DD6E36"/>
    <w:rsid w:val="00DD6EAD"/>
    <w:rsid w:val="00DE4374"/>
    <w:rsid w:val="00DE5689"/>
    <w:rsid w:val="00DF0655"/>
    <w:rsid w:val="00DF4D07"/>
    <w:rsid w:val="00E00543"/>
    <w:rsid w:val="00E129B1"/>
    <w:rsid w:val="00E133B0"/>
    <w:rsid w:val="00E238F7"/>
    <w:rsid w:val="00E2623F"/>
    <w:rsid w:val="00E30207"/>
    <w:rsid w:val="00E35FEE"/>
    <w:rsid w:val="00E44F09"/>
    <w:rsid w:val="00E45A43"/>
    <w:rsid w:val="00E55C00"/>
    <w:rsid w:val="00E56BF7"/>
    <w:rsid w:val="00E608B2"/>
    <w:rsid w:val="00E61234"/>
    <w:rsid w:val="00E63CAC"/>
    <w:rsid w:val="00E67D5B"/>
    <w:rsid w:val="00E708A5"/>
    <w:rsid w:val="00E7705D"/>
    <w:rsid w:val="00E77329"/>
    <w:rsid w:val="00E853F6"/>
    <w:rsid w:val="00E85500"/>
    <w:rsid w:val="00E907D0"/>
    <w:rsid w:val="00E947D5"/>
    <w:rsid w:val="00EA10A3"/>
    <w:rsid w:val="00EA1BC0"/>
    <w:rsid w:val="00EA3957"/>
    <w:rsid w:val="00EA5645"/>
    <w:rsid w:val="00EB4808"/>
    <w:rsid w:val="00EC1A95"/>
    <w:rsid w:val="00EC2392"/>
    <w:rsid w:val="00EC2A61"/>
    <w:rsid w:val="00EE0AE4"/>
    <w:rsid w:val="00EE13F5"/>
    <w:rsid w:val="00EE2F0B"/>
    <w:rsid w:val="00EE4478"/>
    <w:rsid w:val="00EE717B"/>
    <w:rsid w:val="00EF50DA"/>
    <w:rsid w:val="00EF593D"/>
    <w:rsid w:val="00F31498"/>
    <w:rsid w:val="00F32216"/>
    <w:rsid w:val="00F36A01"/>
    <w:rsid w:val="00F3700A"/>
    <w:rsid w:val="00F45B4A"/>
    <w:rsid w:val="00F65227"/>
    <w:rsid w:val="00F66EDD"/>
    <w:rsid w:val="00F70618"/>
    <w:rsid w:val="00F758AD"/>
    <w:rsid w:val="00F75E5F"/>
    <w:rsid w:val="00F76C6F"/>
    <w:rsid w:val="00F85DDE"/>
    <w:rsid w:val="00FB1F5C"/>
    <w:rsid w:val="00FB5B62"/>
    <w:rsid w:val="00FC279E"/>
    <w:rsid w:val="00FC3A28"/>
    <w:rsid w:val="00FF006A"/>
    <w:rsid w:val="00FF2DF8"/>
    <w:rsid w:val="00FF51E0"/>
    <w:rsid w:val="04A73368"/>
    <w:rsid w:val="11F90BC1"/>
    <w:rsid w:val="12EF36FF"/>
    <w:rsid w:val="140D0ACE"/>
    <w:rsid w:val="1B150561"/>
    <w:rsid w:val="1C1F6526"/>
    <w:rsid w:val="1EB850A4"/>
    <w:rsid w:val="232373BF"/>
    <w:rsid w:val="25080E00"/>
    <w:rsid w:val="27B2394D"/>
    <w:rsid w:val="27B5639F"/>
    <w:rsid w:val="2AAF5309"/>
    <w:rsid w:val="2FBE1CC7"/>
    <w:rsid w:val="304D2398"/>
    <w:rsid w:val="31024031"/>
    <w:rsid w:val="32D0092D"/>
    <w:rsid w:val="33726037"/>
    <w:rsid w:val="33DF03D2"/>
    <w:rsid w:val="38DB7774"/>
    <w:rsid w:val="3A0F22DA"/>
    <w:rsid w:val="3E3A0F50"/>
    <w:rsid w:val="3EB23259"/>
    <w:rsid w:val="404F12D4"/>
    <w:rsid w:val="410F0CB7"/>
    <w:rsid w:val="44574522"/>
    <w:rsid w:val="4B043CE9"/>
    <w:rsid w:val="4DCE0A87"/>
    <w:rsid w:val="50462F3E"/>
    <w:rsid w:val="50F235B9"/>
    <w:rsid w:val="51552BC2"/>
    <w:rsid w:val="51F252C4"/>
    <w:rsid w:val="565B6038"/>
    <w:rsid w:val="578D6BA4"/>
    <w:rsid w:val="596D482A"/>
    <w:rsid w:val="59C37377"/>
    <w:rsid w:val="5B7D7448"/>
    <w:rsid w:val="5C154E56"/>
    <w:rsid w:val="5CF757D1"/>
    <w:rsid w:val="60A4772A"/>
    <w:rsid w:val="61024933"/>
    <w:rsid w:val="61A316BC"/>
    <w:rsid w:val="62AD3D0E"/>
    <w:rsid w:val="65316C17"/>
    <w:rsid w:val="654F548F"/>
    <w:rsid w:val="65BE58B7"/>
    <w:rsid w:val="65DB05C3"/>
    <w:rsid w:val="66C468E9"/>
    <w:rsid w:val="696C72C4"/>
    <w:rsid w:val="6DBB2029"/>
    <w:rsid w:val="6E805201"/>
    <w:rsid w:val="6FFE3596"/>
    <w:rsid w:val="70482983"/>
    <w:rsid w:val="72424125"/>
    <w:rsid w:val="74A6790B"/>
    <w:rsid w:val="74FB2722"/>
    <w:rsid w:val="77175B59"/>
    <w:rsid w:val="78631B78"/>
    <w:rsid w:val="7A240E09"/>
    <w:rsid w:val="7A8D52FC"/>
    <w:rsid w:val="7A954DA7"/>
    <w:rsid w:val="7C33474A"/>
    <w:rsid w:val="7D0041CE"/>
    <w:rsid w:val="7DDA1AD2"/>
    <w:rsid w:val="7DEC2058"/>
    <w:rsid w:val="7F211970"/>
    <w:rsid w:val="7FA71F88"/>
    <w:rsid w:val="7FF72EB4"/>
    <w:rsid w:val="BA7F14B2"/>
    <w:rsid w:val="E8DF9B5B"/>
    <w:rsid w:val="FD7FFD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qFormat/>
    <w:uiPriority w:val="0"/>
    <w:pPr>
      <w:keepNext/>
      <w:keepLines/>
      <w:spacing w:before="312" w:beforeLines="100" w:after="312" w:afterLines="100"/>
      <w:outlineLvl w:val="0"/>
    </w:pPr>
    <w:rPr>
      <w:rFonts w:ascii="Times New Roman" w:hAnsi="Times New Roman" w:eastAsia="黑体"/>
      <w:bCs/>
      <w:kern w:val="44"/>
      <w:sz w:val="30"/>
      <w:szCs w:val="44"/>
    </w:rPr>
  </w:style>
  <w:style w:type="paragraph" w:styleId="3">
    <w:name w:val="heading 2"/>
    <w:basedOn w:val="1"/>
    <w:next w:val="1"/>
    <w:qFormat/>
    <w:uiPriority w:val="0"/>
    <w:pPr>
      <w:keepNext/>
      <w:keepLines/>
      <w:spacing w:before="156" w:beforeLines="50" w:after="156" w:afterLines="50"/>
      <w:outlineLvl w:val="1"/>
    </w:pPr>
    <w:rPr>
      <w:rFonts w:ascii="Times New Roman" w:hAnsi="Times New Roman" w:eastAsia="楷体_GB2312"/>
      <w:b/>
      <w:sz w:val="30"/>
    </w:rPr>
  </w:style>
  <w:style w:type="paragraph" w:styleId="4">
    <w:name w:val="heading 3"/>
    <w:basedOn w:val="1"/>
    <w:next w:val="1"/>
    <w:qFormat/>
    <w:uiPriority w:val="0"/>
    <w:pPr>
      <w:keepNext/>
      <w:keepLines/>
      <w:numPr>
        <w:ilvl w:val="0"/>
        <w:numId w:val="1"/>
      </w:numPr>
      <w:spacing w:line="560" w:lineRule="exact"/>
      <w:outlineLvl w:val="2"/>
    </w:pPr>
    <w:rPr>
      <w:rFonts w:ascii="Arial" w:hAnsi="Arial" w:eastAsia="仿宋_GB2312"/>
      <w:b/>
      <w:sz w:val="30"/>
    </w:rPr>
  </w:style>
  <w:style w:type="paragraph" w:styleId="5">
    <w:name w:val="heading 4"/>
    <w:basedOn w:val="1"/>
    <w:next w:val="1"/>
    <w:link w:val="54"/>
    <w:qFormat/>
    <w:uiPriority w:val="0"/>
    <w:pPr>
      <w:keepNext/>
      <w:keepLines/>
      <w:numPr>
        <w:ilvl w:val="0"/>
        <w:numId w:val="2"/>
      </w:numPr>
      <w:spacing w:line="560" w:lineRule="exact"/>
      <w:outlineLvl w:val="3"/>
    </w:pPr>
    <w:rPr>
      <w:rFonts w:eastAsia="仿宋_GB2312"/>
      <w:sz w:val="30"/>
    </w:rPr>
  </w:style>
  <w:style w:type="paragraph" w:styleId="6">
    <w:name w:val="heading 5"/>
    <w:basedOn w:val="1"/>
    <w:next w:val="1"/>
    <w:link w:val="52"/>
    <w:qFormat/>
    <w:uiPriority w:val="0"/>
    <w:pPr>
      <w:keepNext/>
      <w:keepLines/>
      <w:numPr>
        <w:ilvl w:val="0"/>
        <w:numId w:val="3"/>
      </w:numPr>
      <w:spacing w:line="560" w:lineRule="exact"/>
      <w:outlineLvl w:val="4"/>
    </w:pPr>
    <w:rPr>
      <w:rFonts w:eastAsia="仿宋_GB2312"/>
      <w:sz w:val="30"/>
    </w:rPr>
  </w:style>
  <w:style w:type="character" w:default="1" w:styleId="22">
    <w:name w:val="Default Paragraph Font"/>
    <w:unhideWhenUsed/>
    <w:qFormat/>
    <w:uiPriority w:val="1"/>
  </w:style>
  <w:style w:type="table" w:default="1" w:styleId="28">
    <w:name w:val="Normal Table"/>
    <w:unhideWhenUsed/>
    <w:qFormat/>
    <w:uiPriority w:val="99"/>
    <w:tblPr>
      <w:tblLayout w:type="fixed"/>
      <w:tblCellMar>
        <w:top w:w="0" w:type="dxa"/>
        <w:left w:w="108" w:type="dxa"/>
        <w:bottom w:w="0" w:type="dxa"/>
        <w:right w:w="108" w:type="dxa"/>
      </w:tblCellMar>
    </w:tblPr>
  </w:style>
  <w:style w:type="paragraph" w:styleId="7">
    <w:name w:val="annotation subject"/>
    <w:basedOn w:val="8"/>
    <w:next w:val="8"/>
    <w:qFormat/>
    <w:uiPriority w:val="0"/>
    <w:rPr>
      <w:b/>
      <w:bCs/>
    </w:rPr>
  </w:style>
  <w:style w:type="paragraph" w:styleId="8">
    <w:name w:val="annotation text"/>
    <w:basedOn w:val="1"/>
    <w:qFormat/>
    <w:uiPriority w:val="0"/>
    <w:pPr>
      <w:jc w:val="left"/>
    </w:pPr>
  </w:style>
  <w:style w:type="paragraph" w:styleId="9">
    <w:name w:val="toc 7"/>
    <w:basedOn w:val="1"/>
    <w:next w:val="1"/>
    <w:qFormat/>
    <w:uiPriority w:val="0"/>
    <w:pPr>
      <w:ind w:left="2520" w:leftChars="1200"/>
    </w:pPr>
  </w:style>
  <w:style w:type="paragraph" w:styleId="10">
    <w:name w:val="Document Map"/>
    <w:basedOn w:val="1"/>
    <w:link w:val="41"/>
    <w:qFormat/>
    <w:uiPriority w:val="0"/>
    <w:rPr>
      <w:rFonts w:ascii="宋体"/>
      <w:sz w:val="18"/>
    </w:rPr>
  </w:style>
  <w:style w:type="paragraph" w:styleId="11">
    <w:name w:val="toc 5"/>
    <w:basedOn w:val="1"/>
    <w:next w:val="1"/>
    <w:qFormat/>
    <w:uiPriority w:val="0"/>
    <w:pPr>
      <w:ind w:left="1680" w:leftChars="800"/>
    </w:pPr>
  </w:style>
  <w:style w:type="paragraph" w:styleId="12">
    <w:name w:val="toc 3"/>
    <w:basedOn w:val="1"/>
    <w:next w:val="1"/>
    <w:qFormat/>
    <w:uiPriority w:val="39"/>
    <w:pPr>
      <w:ind w:left="840" w:leftChars="400"/>
    </w:pPr>
  </w:style>
  <w:style w:type="paragraph" w:styleId="13">
    <w:name w:val="toc 8"/>
    <w:basedOn w:val="1"/>
    <w:next w:val="1"/>
    <w:qFormat/>
    <w:uiPriority w:val="0"/>
    <w:pPr>
      <w:ind w:left="2940" w:leftChars="1400"/>
    </w:pPr>
  </w:style>
  <w:style w:type="paragraph" w:styleId="14">
    <w:name w:val="Balloon Text"/>
    <w:basedOn w:val="1"/>
    <w:link w:val="38"/>
    <w:qFormat/>
    <w:uiPriority w:val="0"/>
    <w:rPr>
      <w:sz w:val="18"/>
    </w:rPr>
  </w:style>
  <w:style w:type="paragraph" w:styleId="15">
    <w:name w:val="footer"/>
    <w:basedOn w:val="1"/>
    <w:link w:val="32"/>
    <w:qFormat/>
    <w:uiPriority w:val="0"/>
    <w:pPr>
      <w:tabs>
        <w:tab w:val="center" w:pos="4153"/>
        <w:tab w:val="right" w:pos="8306"/>
      </w:tabs>
      <w:snapToGrid w:val="0"/>
      <w:jc w:val="left"/>
    </w:pPr>
    <w:rPr>
      <w:sz w:val="18"/>
    </w:rPr>
  </w:style>
  <w:style w:type="paragraph" w:styleId="16">
    <w:name w:val="header"/>
    <w:basedOn w:val="1"/>
    <w:link w:val="33"/>
    <w:qFormat/>
    <w:uiPriority w:val="0"/>
    <w:pPr>
      <w:pBdr>
        <w:bottom w:val="single" w:color="auto" w:sz="6" w:space="1"/>
      </w:pBdr>
      <w:tabs>
        <w:tab w:val="center" w:pos="4153"/>
        <w:tab w:val="right" w:pos="8306"/>
      </w:tabs>
      <w:snapToGrid w:val="0"/>
      <w:jc w:val="center"/>
    </w:pPr>
    <w:rPr>
      <w:sz w:val="18"/>
    </w:rPr>
  </w:style>
  <w:style w:type="paragraph" w:styleId="17">
    <w:name w:val="toc 1"/>
    <w:basedOn w:val="1"/>
    <w:next w:val="1"/>
    <w:qFormat/>
    <w:uiPriority w:val="39"/>
  </w:style>
  <w:style w:type="paragraph" w:styleId="18">
    <w:name w:val="toc 4"/>
    <w:basedOn w:val="1"/>
    <w:next w:val="1"/>
    <w:qFormat/>
    <w:uiPriority w:val="0"/>
    <w:pPr>
      <w:ind w:left="1260" w:leftChars="600"/>
    </w:pPr>
  </w:style>
  <w:style w:type="paragraph" w:styleId="19">
    <w:name w:val="toc 6"/>
    <w:basedOn w:val="1"/>
    <w:next w:val="1"/>
    <w:qFormat/>
    <w:uiPriority w:val="0"/>
    <w:pPr>
      <w:ind w:left="2100" w:leftChars="1000"/>
    </w:pPr>
  </w:style>
  <w:style w:type="paragraph" w:styleId="20">
    <w:name w:val="toc 2"/>
    <w:basedOn w:val="1"/>
    <w:next w:val="1"/>
    <w:qFormat/>
    <w:uiPriority w:val="39"/>
    <w:pPr>
      <w:ind w:left="420" w:leftChars="200"/>
    </w:pPr>
  </w:style>
  <w:style w:type="paragraph" w:styleId="21">
    <w:name w:val="toc 9"/>
    <w:basedOn w:val="1"/>
    <w:next w:val="1"/>
    <w:qFormat/>
    <w:uiPriority w:val="0"/>
    <w:pPr>
      <w:ind w:left="3360" w:leftChars="1600"/>
    </w:pPr>
  </w:style>
  <w:style w:type="character" w:styleId="23">
    <w:name w:val="page number"/>
    <w:basedOn w:val="22"/>
    <w:qFormat/>
    <w:uiPriority w:val="0"/>
  </w:style>
  <w:style w:type="character" w:styleId="24">
    <w:name w:val="FollowedHyperlink"/>
    <w:qFormat/>
    <w:uiPriority w:val="0"/>
    <w:rPr>
      <w:color w:val="800080"/>
      <w:u w:val="single"/>
    </w:rPr>
  </w:style>
  <w:style w:type="character" w:styleId="25">
    <w:name w:val="Emphasis"/>
    <w:qFormat/>
    <w:uiPriority w:val="0"/>
    <w:rPr>
      <w:rFonts w:ascii="Times New Roman" w:hAnsi="Times New Roman" w:eastAsia="楷体_GB2312"/>
      <w:b/>
      <w:sz w:val="21"/>
    </w:rPr>
  </w:style>
  <w:style w:type="character" w:styleId="26">
    <w:name w:val="Hyperlink"/>
    <w:qFormat/>
    <w:uiPriority w:val="99"/>
    <w:rPr>
      <w:color w:val="0000FF"/>
      <w:u w:val="single"/>
    </w:rPr>
  </w:style>
  <w:style w:type="character" w:styleId="27">
    <w:name w:val="annotation reference"/>
    <w:qFormat/>
    <w:uiPriority w:val="0"/>
    <w:rPr>
      <w:sz w:val="21"/>
      <w:szCs w:val="21"/>
    </w:rPr>
  </w:style>
  <w:style w:type="table" w:styleId="29">
    <w:name w:val="Table Grid"/>
    <w:basedOn w:val="2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30">
    <w:name w:val="Light Shading Accent 4"/>
    <w:basedOn w:val="28"/>
    <w:qFormat/>
    <w:uiPriority w:val="60"/>
    <w:rPr>
      <w:color w:val="604A7B" w:themeColor="accent4" w:themeShade="BF"/>
    </w:rPr>
    <w:tblPr>
      <w:tblBorders>
        <w:top w:val="single" w:color="8064A2" w:themeColor="accent4" w:sz="8" w:space="0"/>
        <w:bottom w:val="single" w:color="8064A2" w:themeColor="accent4" w:sz="8" w:space="0"/>
      </w:tblBorders>
      <w:tblLayout w:type="fixed"/>
    </w:tblPr>
    <w:tblStylePr w:type="firstRow">
      <w:pPr>
        <w:spacing w:before="0" w:after="0" w:line="240" w:lineRule="auto"/>
      </w:pPr>
      <w:rPr>
        <w:b/>
        <w:bCs/>
      </w:rPr>
      <w:tblPr>
        <w:tblLayout w:type="fixed"/>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blLayout w:type="fixed"/>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FD8E8" w:themeFill="accent4" w:themeFillTint="3F"/>
      </w:tcPr>
    </w:tblStylePr>
    <w:tblStylePr w:type="band1Horz">
      <w:tblPr>
        <w:tblLayout w:type="fixed"/>
      </w:tblPr>
      <w:tcPr>
        <w:tcBorders>
          <w:left w:val="nil"/>
          <w:right w:val="nil"/>
          <w:insideH w:val="nil"/>
          <w:insideV w:val="nil"/>
        </w:tcBorders>
        <w:shd w:val="clear" w:color="auto" w:fill="DFD8E8" w:themeFill="accent4" w:themeFillTint="3F"/>
      </w:tcPr>
    </w:tblStylePr>
  </w:style>
  <w:style w:type="table" w:styleId="31">
    <w:name w:val="Light Shading Accent 5"/>
    <w:basedOn w:val="28"/>
    <w:qFormat/>
    <w:uiPriority w:val="60"/>
    <w:rPr>
      <w:color w:val="31859C" w:themeColor="accent5" w:themeShade="BF"/>
    </w:rPr>
    <w:tblPr>
      <w:tblBorders>
        <w:top w:val="single" w:color="4BACC6" w:themeColor="accent5" w:sz="8" w:space="0"/>
        <w:bottom w:val="single" w:color="4BACC6" w:themeColor="accent5" w:sz="8" w:space="0"/>
      </w:tblBorders>
      <w:tblLayout w:type="fixed"/>
    </w:tblPr>
    <w:tblStylePr w:type="fir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blLayout w:type="fixed"/>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blLayout w:type="fixed"/>
      </w:tblPr>
      <w:tcPr>
        <w:tcBorders>
          <w:left w:val="nil"/>
          <w:right w:val="nil"/>
          <w:insideH w:val="nil"/>
          <w:insideV w:val="nil"/>
        </w:tcBorders>
        <w:shd w:val="clear" w:color="auto" w:fill="D2EAF0" w:themeFill="accent5" w:themeFillTint="3F"/>
      </w:tcPr>
    </w:tblStylePr>
    <w:tblStylePr w:type="band1Horz">
      <w:tblPr>
        <w:tblLayout w:type="fixed"/>
      </w:tblPr>
      <w:tcPr>
        <w:tcBorders>
          <w:left w:val="nil"/>
          <w:right w:val="nil"/>
          <w:insideH w:val="nil"/>
          <w:insideV w:val="nil"/>
        </w:tcBorders>
        <w:shd w:val="clear" w:color="auto" w:fill="D2EAF0" w:themeFill="accent5" w:themeFillTint="3F"/>
      </w:tcPr>
    </w:tblStylePr>
  </w:style>
  <w:style w:type="character" w:customStyle="1" w:styleId="32">
    <w:name w:val="页脚 Char"/>
    <w:link w:val="15"/>
    <w:qFormat/>
    <w:uiPriority w:val="0"/>
    <w:rPr>
      <w:rFonts w:ascii="Calibri" w:hAnsi="Calibri" w:eastAsia="宋体"/>
      <w:kern w:val="2"/>
      <w:sz w:val="18"/>
      <w:lang w:val="en-US" w:eastAsia="zh-CN"/>
    </w:rPr>
  </w:style>
  <w:style w:type="character" w:customStyle="1" w:styleId="33">
    <w:name w:val="页眉 Char"/>
    <w:link w:val="16"/>
    <w:qFormat/>
    <w:uiPriority w:val="0"/>
    <w:rPr>
      <w:rFonts w:ascii="Calibri" w:hAnsi="Calibri" w:eastAsia="宋体"/>
      <w:kern w:val="2"/>
      <w:sz w:val="18"/>
      <w:lang w:val="en-US" w:eastAsia="zh-CN"/>
    </w:rPr>
  </w:style>
  <w:style w:type="character" w:customStyle="1" w:styleId="34">
    <w:name w:val="font01"/>
    <w:qFormat/>
    <w:uiPriority w:val="0"/>
    <w:rPr>
      <w:rFonts w:hint="default" w:ascii="Times New Roman" w:hAnsi="Times New Roman" w:cs="Times New Roman"/>
      <w:color w:val="000000"/>
      <w:sz w:val="24"/>
      <w:szCs w:val="24"/>
      <w:u w:val="none"/>
    </w:rPr>
  </w:style>
  <w:style w:type="character" w:customStyle="1" w:styleId="35">
    <w:name w:val="表头 Char Char"/>
    <w:link w:val="36"/>
    <w:qFormat/>
    <w:uiPriority w:val="0"/>
    <w:rPr>
      <w:b/>
      <w:sz w:val="24"/>
    </w:rPr>
  </w:style>
  <w:style w:type="paragraph" w:customStyle="1" w:styleId="36">
    <w:name w:val="表头"/>
    <w:basedOn w:val="37"/>
    <w:link w:val="35"/>
    <w:qFormat/>
    <w:uiPriority w:val="0"/>
    <w:pPr>
      <w:jc w:val="center"/>
    </w:pPr>
    <w:rPr>
      <w:b/>
      <w:sz w:val="24"/>
    </w:rPr>
  </w:style>
  <w:style w:type="paragraph" w:customStyle="1" w:styleId="37">
    <w:name w:val="表格"/>
    <w:basedOn w:val="1"/>
    <w:qFormat/>
    <w:uiPriority w:val="0"/>
    <w:pPr>
      <w:spacing w:line="288" w:lineRule="auto"/>
    </w:pPr>
    <w:rPr>
      <w:rFonts w:ascii="Times New Roman" w:hAnsi="Times New Roman"/>
    </w:rPr>
  </w:style>
  <w:style w:type="character" w:customStyle="1" w:styleId="38">
    <w:name w:val="批注框文本 Char"/>
    <w:link w:val="14"/>
    <w:qFormat/>
    <w:uiPriority w:val="0"/>
    <w:rPr>
      <w:rFonts w:ascii="Calibri" w:hAnsi="Calibri"/>
      <w:kern w:val="2"/>
      <w:sz w:val="18"/>
    </w:rPr>
  </w:style>
  <w:style w:type="character" w:customStyle="1" w:styleId="39">
    <w:name w:val="无间隔 Char"/>
    <w:link w:val="40"/>
    <w:qFormat/>
    <w:uiPriority w:val="0"/>
    <w:rPr>
      <w:rFonts w:ascii="Calibri" w:hAnsi="Calibri"/>
      <w:sz w:val="22"/>
      <w:lang w:val="en-US" w:eastAsia="zh-CN" w:bidi="ar-SA"/>
    </w:rPr>
  </w:style>
  <w:style w:type="paragraph" w:customStyle="1" w:styleId="40">
    <w:name w:val="No Spacing"/>
    <w:link w:val="39"/>
    <w:qFormat/>
    <w:uiPriority w:val="0"/>
    <w:rPr>
      <w:rFonts w:ascii="Calibri" w:hAnsi="Calibri" w:eastAsia="宋体" w:cs="Times New Roman"/>
      <w:sz w:val="22"/>
      <w:lang w:val="en-US" w:eastAsia="zh-CN" w:bidi="ar-SA"/>
    </w:rPr>
  </w:style>
  <w:style w:type="character" w:customStyle="1" w:styleId="41">
    <w:name w:val="文档结构图 Char"/>
    <w:link w:val="10"/>
    <w:qFormat/>
    <w:uiPriority w:val="0"/>
    <w:rPr>
      <w:rFonts w:ascii="宋体" w:hAnsi="Calibri" w:eastAsia="宋体"/>
      <w:kern w:val="2"/>
      <w:sz w:val="18"/>
      <w:lang w:val="en-US" w:eastAsia="zh-CN"/>
    </w:rPr>
  </w:style>
  <w:style w:type="character" w:customStyle="1" w:styleId="42">
    <w:name w:val="font21"/>
    <w:qFormat/>
    <w:uiPriority w:val="0"/>
    <w:rPr>
      <w:rFonts w:hint="eastAsia" w:ascii="宋体" w:hAnsi="宋体" w:eastAsia="宋体" w:cs="宋体"/>
      <w:color w:val="000000"/>
      <w:sz w:val="24"/>
      <w:szCs w:val="24"/>
      <w:u w:val="none"/>
    </w:rPr>
  </w:style>
  <w:style w:type="paragraph" w:customStyle="1" w:styleId="43">
    <w:name w:val="列表段落"/>
    <w:basedOn w:val="1"/>
    <w:qFormat/>
    <w:uiPriority w:val="0"/>
    <w:pPr>
      <w:ind w:firstLine="420" w:firstLineChars="200"/>
    </w:pPr>
  </w:style>
  <w:style w:type="paragraph" w:customStyle="1" w:styleId="44">
    <w:name w:val="正文1"/>
    <w:basedOn w:val="1"/>
    <w:qFormat/>
    <w:uiPriority w:val="0"/>
    <w:pPr>
      <w:ind w:firstLine="600" w:firstLineChars="200"/>
    </w:pPr>
    <w:rPr>
      <w:rFonts w:ascii="Times New Roman" w:hAnsi="Times New Roman" w:eastAsia="仿宋_GB2312"/>
      <w:sz w:val="30"/>
    </w:rPr>
  </w:style>
  <w:style w:type="paragraph" w:customStyle="1" w:styleId="45">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6">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7">
    <w:name w:val="表头2"/>
    <w:basedOn w:val="36"/>
    <w:qFormat/>
    <w:uiPriority w:val="0"/>
    <w:rPr>
      <w:sz w:val="21"/>
    </w:rPr>
  </w:style>
  <w:style w:type="paragraph" w:customStyle="1" w:styleId="48">
    <w:name w:val="Char"/>
    <w:basedOn w:val="1"/>
    <w:qFormat/>
    <w:uiPriority w:val="0"/>
    <w:pPr>
      <w:widowControl/>
      <w:spacing w:after="160" w:line="240" w:lineRule="exact"/>
      <w:jc w:val="left"/>
    </w:pPr>
  </w:style>
  <w:style w:type="table" w:customStyle="1" w:styleId="49">
    <w:name w:val="我的表格样式1"/>
    <w:basedOn w:val="28"/>
    <w:qFormat/>
    <w:uiPriority w:val="99"/>
    <w:pPr>
      <w:jc w:val="center"/>
    </w:pPr>
    <w:rPr>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85" w:type="dxa"/>
        <w:bottom w:w="28" w:type="dxa"/>
        <w:right w:w="85" w:type="dxa"/>
      </w:tblCellMar>
    </w:tblPr>
    <w:tcPr>
      <w:vAlign w:val="center"/>
    </w:tcPr>
    <w:tblStylePr w:type="firstRow">
      <w:rPr>
        <w:rFonts w:eastAsia="宋体"/>
        <w:b/>
        <w:sz w:val="24"/>
      </w:rPr>
    </w:tblStylePr>
    <w:tblStylePr w:type="lastCol">
      <w:pPr>
        <w:jc w:val="both"/>
      </w:pPr>
    </w:tblStylePr>
  </w:style>
  <w:style w:type="paragraph" w:customStyle="1" w:styleId="50">
    <w:name w:val="List Paragraph"/>
    <w:basedOn w:val="1"/>
    <w:qFormat/>
    <w:uiPriority w:val="0"/>
    <w:pPr>
      <w:ind w:firstLine="420" w:firstLineChars="200"/>
    </w:pPr>
  </w:style>
  <w:style w:type="paragraph" w:customStyle="1" w:styleId="51">
    <w:name w:val="表名字样式"/>
    <w:basedOn w:val="6"/>
    <w:link w:val="53"/>
    <w:qFormat/>
    <w:uiPriority w:val="0"/>
    <w:pPr>
      <w:numPr>
        <w:numId w:val="4"/>
      </w:numPr>
    </w:pPr>
  </w:style>
  <w:style w:type="character" w:customStyle="1" w:styleId="52">
    <w:name w:val="标题 5 Char"/>
    <w:basedOn w:val="22"/>
    <w:link w:val="6"/>
    <w:qFormat/>
    <w:uiPriority w:val="0"/>
    <w:rPr>
      <w:rFonts w:ascii="Calibri" w:hAnsi="Calibri" w:eastAsia="仿宋_GB2312"/>
      <w:kern w:val="2"/>
      <w:sz w:val="30"/>
    </w:rPr>
  </w:style>
  <w:style w:type="character" w:customStyle="1" w:styleId="53">
    <w:name w:val="表名字样式 Char"/>
    <w:basedOn w:val="52"/>
    <w:link w:val="51"/>
    <w:qFormat/>
    <w:uiPriority w:val="0"/>
    <w:rPr>
      <w:rFonts w:ascii="Calibri" w:hAnsi="Calibri" w:eastAsia="仿宋_GB2312"/>
      <w:kern w:val="2"/>
      <w:sz w:val="30"/>
    </w:rPr>
  </w:style>
  <w:style w:type="character" w:customStyle="1" w:styleId="54">
    <w:name w:val="标题 4 Char"/>
    <w:basedOn w:val="22"/>
    <w:link w:val="5"/>
    <w:qFormat/>
    <w:uiPriority w:val="0"/>
    <w:rPr>
      <w:rFonts w:ascii="Calibri" w:hAnsi="Calibri" w:eastAsia="仿宋_GB2312"/>
      <w:kern w:val="2"/>
      <w:sz w:val="30"/>
    </w:rPr>
  </w:style>
</w:styles>
</file>

<file path=word/_rels/document.xml.rels><?xml version="1.0" encoding="UTF-8" standalone="yes"?>
<Relationships xmlns="http://schemas.openxmlformats.org/package/2006/relationships"><Relationship Id="rId9" Type="http://schemas.microsoft.com/office/2006/relationships/keyMapCustomizations" Target="customizations.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ngchengying\Library\Containers\com.kingsoft.wpsoffice.mac\Data\C:\Users\LENOVO%20PC\Desktop\&#30417;&#31649;&#26680;&#24515;&#31995;&#32479;&#25968;&#25454;&#26631;&#20934;&#21270;&#35268;&#33539;&#30740;&#21046;\12&#26376;&#24037;&#20316;\&#20445;&#38505;&#19994;&#30417;&#31649;&#25968;&#25454;&#26631;&#20934;&#21270;&#35268;&#33539;&#65288;&#36130;&#20135;&#20445;&#38505;&#20844;&#21496;&#29256;&#65289;20201224&#29256;update\Normal.w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Normal.wpt</Template>
  <Pages>158</Pages>
  <Words>31062</Words>
  <Characters>177056</Characters>
  <Lines>1475</Lines>
  <Paragraphs>415</Paragraphs>
  <ScaleCrop>false</ScaleCrop>
  <LinksUpToDate>false</LinksUpToDate>
  <CharactersWithSpaces>207703</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2020-12-29T09:39:00Z</dcterms:created>
  <dc:creator>郭剩勇</dc:creator>
  <cp:lastModifiedBy>方栋</cp:lastModifiedBy>
  <cp:lastPrinted>2014-12-29T14:23:00Z</cp:lastPrinted>
  <dcterms:modified xsi:type="dcterms:W3CDTF">2021-01-19T01:16:25Z</dcterms:modified>
  <dc:title>中小银行及农村金融机构</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