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76D25">
      <w:pPr>
        <w:spacing w:line="56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附件2</w:t>
      </w:r>
    </w:p>
    <w:p w14:paraId="69104EDD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2"/>
          <w:szCs w:val="32"/>
        </w:rPr>
        <w:t>短期健康保险业务统计表</w:t>
      </w:r>
    </w:p>
    <w:p w14:paraId="3FD3685A">
      <w:pPr>
        <w:spacing w:line="560" w:lineRule="exact"/>
        <w:ind w:left="1280" w:hanging="1280" w:hangingChars="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保险公司名称：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645"/>
        <w:gridCol w:w="1472"/>
        <w:gridCol w:w="1174"/>
        <w:gridCol w:w="1174"/>
        <w:gridCol w:w="1074"/>
        <w:gridCol w:w="1522"/>
        <w:gridCol w:w="794"/>
        <w:gridCol w:w="546"/>
      </w:tblGrid>
      <w:tr w14:paraId="200161F1">
        <w:tc>
          <w:tcPr>
            <w:tcW w:w="545" w:type="dxa"/>
            <w:noWrap w:val="0"/>
            <w:vAlign w:val="center"/>
          </w:tcPr>
          <w:p w14:paraId="08AF9EEE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645" w:type="dxa"/>
            <w:noWrap w:val="0"/>
            <w:vAlign w:val="center"/>
          </w:tcPr>
          <w:p w14:paraId="7A4CFEEA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highlight w:val="none"/>
              </w:rPr>
              <w:t>产品</w:t>
            </w:r>
            <w:r>
              <w:rPr>
                <w:rFonts w:hint="eastAsia" w:ascii="仿宋_GB2312" w:eastAsia="仿宋_GB2312"/>
                <w:sz w:val="28"/>
                <w:szCs w:val="28"/>
              </w:rPr>
              <w:t>名称</w:t>
            </w:r>
          </w:p>
        </w:tc>
        <w:tc>
          <w:tcPr>
            <w:tcW w:w="1472" w:type="dxa"/>
            <w:noWrap w:val="0"/>
            <w:vAlign w:val="center"/>
          </w:tcPr>
          <w:p w14:paraId="6F7C9BCA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产品类型（医疗险、疾病险、其他）</w:t>
            </w:r>
          </w:p>
        </w:tc>
        <w:tc>
          <w:tcPr>
            <w:tcW w:w="1174" w:type="dxa"/>
            <w:noWrap w:val="0"/>
            <w:vAlign w:val="center"/>
          </w:tcPr>
          <w:p w14:paraId="0FAF8FE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有效保单（万件）</w:t>
            </w:r>
          </w:p>
        </w:tc>
        <w:tc>
          <w:tcPr>
            <w:tcW w:w="1174" w:type="dxa"/>
            <w:noWrap w:val="0"/>
            <w:vAlign w:val="center"/>
          </w:tcPr>
          <w:p w14:paraId="04BB4B78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被保险人（万人）</w:t>
            </w:r>
          </w:p>
        </w:tc>
        <w:tc>
          <w:tcPr>
            <w:tcW w:w="1074" w:type="dxa"/>
            <w:noWrap w:val="0"/>
            <w:vAlign w:val="center"/>
          </w:tcPr>
          <w:p w14:paraId="53588C08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保费收入（万元）</w:t>
            </w:r>
          </w:p>
        </w:tc>
        <w:tc>
          <w:tcPr>
            <w:tcW w:w="1522" w:type="dxa"/>
            <w:noWrap w:val="0"/>
            <w:vAlign w:val="center"/>
          </w:tcPr>
          <w:p w14:paraId="218A7A3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产品整改情况（停售、变更、新开发）</w:t>
            </w:r>
          </w:p>
        </w:tc>
        <w:tc>
          <w:tcPr>
            <w:tcW w:w="794" w:type="dxa"/>
            <w:noWrap w:val="0"/>
            <w:vAlign w:val="center"/>
          </w:tcPr>
          <w:p w14:paraId="501ED316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相关</w:t>
            </w:r>
            <w:r>
              <w:rPr>
                <w:rFonts w:hint="eastAsia" w:ascii="仿宋_GB2312" w:eastAsia="仿宋_GB2312"/>
                <w:sz w:val="28"/>
                <w:szCs w:val="28"/>
              </w:rPr>
              <w:t>续保表述</w:t>
            </w:r>
          </w:p>
        </w:tc>
        <w:tc>
          <w:tcPr>
            <w:tcW w:w="546" w:type="dxa"/>
            <w:noWrap w:val="0"/>
            <w:vAlign w:val="center"/>
          </w:tcPr>
          <w:p w14:paraId="55EEAE97"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 w14:paraId="6517F5BA">
        <w:tc>
          <w:tcPr>
            <w:tcW w:w="545" w:type="dxa"/>
            <w:noWrap w:val="0"/>
            <w:vAlign w:val="center"/>
          </w:tcPr>
          <w:p w14:paraId="1AD308F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645" w:type="dxa"/>
            <w:noWrap w:val="0"/>
            <w:vAlign w:val="center"/>
          </w:tcPr>
          <w:p w14:paraId="18EA863D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4C2A97E6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7FF6120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EB3308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74" w:type="dxa"/>
            <w:noWrap w:val="0"/>
            <w:vAlign w:val="top"/>
          </w:tcPr>
          <w:p w14:paraId="14C9246B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516C8DA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4" w:type="dxa"/>
            <w:noWrap w:val="0"/>
            <w:vAlign w:val="center"/>
          </w:tcPr>
          <w:p w14:paraId="43829B46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6" w:type="dxa"/>
            <w:noWrap w:val="0"/>
            <w:vAlign w:val="top"/>
          </w:tcPr>
          <w:p w14:paraId="527F4CAB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EFDF2CC">
        <w:tc>
          <w:tcPr>
            <w:tcW w:w="545" w:type="dxa"/>
            <w:noWrap w:val="0"/>
            <w:vAlign w:val="center"/>
          </w:tcPr>
          <w:p w14:paraId="038E1FC6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645" w:type="dxa"/>
            <w:noWrap w:val="0"/>
            <w:vAlign w:val="center"/>
          </w:tcPr>
          <w:p w14:paraId="010A0A2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35B6914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35C7C8E7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D2F192A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74" w:type="dxa"/>
            <w:noWrap w:val="0"/>
            <w:vAlign w:val="top"/>
          </w:tcPr>
          <w:p w14:paraId="2EEBE35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2" w:type="dxa"/>
            <w:noWrap w:val="0"/>
            <w:vAlign w:val="center"/>
          </w:tcPr>
          <w:p w14:paraId="367B30E7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4" w:type="dxa"/>
            <w:noWrap w:val="0"/>
            <w:vAlign w:val="center"/>
          </w:tcPr>
          <w:p w14:paraId="11646A5B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6" w:type="dxa"/>
            <w:noWrap w:val="0"/>
            <w:vAlign w:val="top"/>
          </w:tcPr>
          <w:p w14:paraId="4BA3D896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6CD2D533">
        <w:tc>
          <w:tcPr>
            <w:tcW w:w="545" w:type="dxa"/>
            <w:noWrap w:val="0"/>
            <w:vAlign w:val="center"/>
          </w:tcPr>
          <w:p w14:paraId="205A71E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…</w:t>
            </w:r>
          </w:p>
        </w:tc>
        <w:tc>
          <w:tcPr>
            <w:tcW w:w="645" w:type="dxa"/>
            <w:noWrap w:val="0"/>
            <w:vAlign w:val="center"/>
          </w:tcPr>
          <w:p w14:paraId="61E05B1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61CF89C3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54A2594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01471511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74" w:type="dxa"/>
            <w:noWrap w:val="0"/>
            <w:vAlign w:val="top"/>
          </w:tcPr>
          <w:p w14:paraId="732F26F8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2" w:type="dxa"/>
            <w:tcBorders>
              <w:bottom w:val="single" w:color="000000" w:sz="4" w:space="0"/>
            </w:tcBorders>
            <w:noWrap w:val="0"/>
            <w:vAlign w:val="center"/>
          </w:tcPr>
          <w:p w14:paraId="640FFC2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color="000000" w:sz="4" w:space="0"/>
            </w:tcBorders>
            <w:noWrap w:val="0"/>
            <w:vAlign w:val="center"/>
          </w:tcPr>
          <w:p w14:paraId="613B38D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6" w:type="dxa"/>
            <w:tcBorders>
              <w:bottom w:val="single" w:color="000000" w:sz="4" w:space="0"/>
            </w:tcBorders>
            <w:noWrap w:val="0"/>
            <w:vAlign w:val="top"/>
          </w:tcPr>
          <w:p w14:paraId="0BCC016A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3CCED52">
        <w:tc>
          <w:tcPr>
            <w:tcW w:w="2662" w:type="dxa"/>
            <w:gridSpan w:val="3"/>
            <w:noWrap w:val="0"/>
            <w:vAlign w:val="center"/>
          </w:tcPr>
          <w:p w14:paraId="35558439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合计</w:t>
            </w:r>
          </w:p>
        </w:tc>
        <w:tc>
          <w:tcPr>
            <w:tcW w:w="1174" w:type="dxa"/>
            <w:noWrap w:val="0"/>
            <w:vAlign w:val="center"/>
          </w:tcPr>
          <w:p w14:paraId="3C98064F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70C49D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74" w:type="dxa"/>
            <w:noWrap w:val="0"/>
            <w:vAlign w:val="top"/>
          </w:tcPr>
          <w:p w14:paraId="6AEE13B7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22" w:type="dxa"/>
            <w:tcBorders>
              <w:tr2bl w:val="single" w:color="000000" w:sz="4" w:space="0"/>
            </w:tcBorders>
            <w:noWrap w:val="0"/>
            <w:vAlign w:val="center"/>
          </w:tcPr>
          <w:p w14:paraId="7E0EA6B8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94" w:type="dxa"/>
            <w:tcBorders>
              <w:tr2bl w:val="single" w:color="000000" w:sz="4" w:space="0"/>
            </w:tcBorders>
            <w:noWrap w:val="0"/>
            <w:vAlign w:val="center"/>
          </w:tcPr>
          <w:p w14:paraId="0F02283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46" w:type="dxa"/>
            <w:tcBorders>
              <w:tr2bl w:val="single" w:color="000000" w:sz="4" w:space="0"/>
            </w:tcBorders>
            <w:noWrap w:val="0"/>
            <w:vAlign w:val="top"/>
          </w:tcPr>
          <w:p w14:paraId="154F4FDC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235ABC43">
      <w:pPr>
        <w:spacing w:line="560" w:lineRule="exact"/>
        <w:ind w:left="1200" w:hanging="1200" w:hangingChars="4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说明：1.统计时点为2021年4月30日，统计范围为该时点的全部短期健康保险有效保单，短期健康保险的范围参见《中国银保监会办公厅关于规范短期健康保险业务有关问题的通知》（银保监办发〔2021〕7号）。</w:t>
      </w:r>
      <w:r>
        <w:rPr>
          <w:rFonts w:hint="eastAsia" w:ascii="仿宋_GB2312" w:eastAsia="仿宋_GB2312"/>
          <w:sz w:val="30"/>
          <w:szCs w:val="30"/>
          <w:lang w:eastAsia="zh-CN"/>
        </w:rPr>
        <w:t>按照保险条款逐条统计。</w:t>
      </w:r>
    </w:p>
    <w:p w14:paraId="165F9F04">
      <w:pPr>
        <w:spacing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2.“产品名称”栏填写</w:t>
      </w:r>
      <w:r>
        <w:rPr>
          <w:rFonts w:hint="eastAsia" w:ascii="仿宋_GB2312" w:eastAsia="仿宋_GB2312"/>
          <w:sz w:val="30"/>
          <w:szCs w:val="30"/>
          <w:lang w:eastAsia="zh-CN"/>
        </w:rPr>
        <w:t>保险条款</w:t>
      </w:r>
      <w:r>
        <w:rPr>
          <w:rFonts w:hint="eastAsia" w:ascii="仿宋_GB2312" w:eastAsia="仿宋_GB2312"/>
          <w:sz w:val="30"/>
          <w:szCs w:val="30"/>
          <w:highlight w:val="none"/>
        </w:rPr>
        <w:t>备案时的全称</w:t>
      </w:r>
      <w:r>
        <w:rPr>
          <w:rFonts w:hint="eastAsia" w:ascii="仿宋_GB2312" w:eastAsia="仿宋_GB2312"/>
          <w:sz w:val="30"/>
          <w:szCs w:val="30"/>
        </w:rPr>
        <w:t>。</w:t>
      </w:r>
    </w:p>
    <w:p w14:paraId="104354B5">
      <w:pPr>
        <w:spacing w:line="56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3.“产品类型”栏填写医疗险、疾病险或其他。</w:t>
      </w:r>
    </w:p>
    <w:p w14:paraId="25F9D9DC">
      <w:pPr>
        <w:spacing w:line="560" w:lineRule="exact"/>
        <w:ind w:left="1195" w:leftChars="426" w:hanging="300" w:hangingChars="1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4.“保费收入”栏填写该产品有效保单的原保险保费收入。</w:t>
      </w:r>
    </w:p>
    <w:p w14:paraId="1537D9CD">
      <w:pPr>
        <w:spacing w:line="560" w:lineRule="exact"/>
        <w:ind w:left="1195" w:leftChars="426" w:hanging="300" w:hangingChars="1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5.“产品整改情况”栏根据在5月1日前</w:t>
      </w:r>
      <w:r>
        <w:rPr>
          <w:rFonts w:hint="eastAsia" w:ascii="仿宋_GB2312" w:eastAsia="仿宋_GB2312"/>
          <w:sz w:val="30"/>
          <w:szCs w:val="30"/>
          <w:lang w:eastAsia="zh-CN"/>
        </w:rPr>
        <w:t>已</w:t>
      </w:r>
      <w:r>
        <w:rPr>
          <w:rFonts w:hint="eastAsia" w:ascii="仿宋_GB2312" w:eastAsia="仿宋_GB2312"/>
          <w:sz w:val="30"/>
          <w:szCs w:val="30"/>
        </w:rPr>
        <w:t>停售、</w:t>
      </w:r>
      <w:r>
        <w:rPr>
          <w:rFonts w:hint="eastAsia" w:ascii="仿宋_GB2312" w:eastAsia="仿宋_GB2312"/>
          <w:sz w:val="30"/>
          <w:szCs w:val="30"/>
          <w:lang w:eastAsia="zh-CN"/>
        </w:rPr>
        <w:t>已</w:t>
      </w:r>
      <w:r>
        <w:rPr>
          <w:rFonts w:hint="eastAsia" w:ascii="仿宋_GB2312" w:eastAsia="仿宋_GB2312"/>
          <w:sz w:val="30"/>
          <w:szCs w:val="30"/>
        </w:rPr>
        <w:t>变更</w:t>
      </w:r>
      <w:r>
        <w:rPr>
          <w:rFonts w:hint="eastAsia" w:ascii="仿宋_GB2312" w:eastAsia="仿宋_GB2312"/>
          <w:sz w:val="30"/>
          <w:szCs w:val="30"/>
          <w:lang w:eastAsia="zh-CN"/>
        </w:rPr>
        <w:t>、</w:t>
      </w:r>
      <w:r>
        <w:rPr>
          <w:rFonts w:hint="eastAsia" w:ascii="仿宋_GB2312" w:eastAsia="仿宋_GB2312"/>
          <w:sz w:val="30"/>
          <w:szCs w:val="30"/>
        </w:rPr>
        <w:t>新</w:t>
      </w:r>
      <w:r>
        <w:rPr>
          <w:rFonts w:hint="eastAsia" w:ascii="仿宋_GB2312" w:eastAsia="仿宋_GB2312"/>
          <w:sz w:val="30"/>
          <w:szCs w:val="30"/>
          <w:lang w:eastAsia="zh-CN"/>
        </w:rPr>
        <w:t>开发</w:t>
      </w:r>
      <w:r>
        <w:rPr>
          <w:rFonts w:hint="eastAsia" w:ascii="仿宋_GB2312" w:eastAsia="仿宋_GB2312"/>
          <w:sz w:val="30"/>
          <w:szCs w:val="30"/>
        </w:rPr>
        <w:t>等情况填写。</w:t>
      </w:r>
    </w:p>
    <w:p w14:paraId="746A62E9">
      <w:pPr>
        <w:spacing w:line="560" w:lineRule="exact"/>
        <w:ind w:left="1195" w:leftChars="426" w:hanging="300" w:hangingChars="100"/>
      </w:pPr>
      <w:r>
        <w:rPr>
          <w:rFonts w:hint="eastAsia" w:ascii="仿宋_GB2312" w:eastAsia="仿宋_GB2312"/>
          <w:sz w:val="30"/>
          <w:szCs w:val="30"/>
        </w:rPr>
        <w:t>6.“</w:t>
      </w:r>
      <w:r>
        <w:rPr>
          <w:rFonts w:hint="eastAsia" w:ascii="仿宋_GB2312" w:eastAsia="仿宋_GB2312"/>
          <w:sz w:val="30"/>
          <w:szCs w:val="30"/>
          <w:lang w:eastAsia="zh-CN"/>
        </w:rPr>
        <w:t>相关</w:t>
      </w:r>
      <w:r>
        <w:rPr>
          <w:rFonts w:hint="eastAsia" w:ascii="仿宋_GB2312" w:eastAsia="仿宋_GB2312"/>
          <w:sz w:val="30"/>
          <w:szCs w:val="30"/>
        </w:rPr>
        <w:t>续保表述”栏填写备案条款中续保表述不规范的条款内容。</w:t>
      </w:r>
    </w:p>
    <w:p w14:paraId="26698B9F"/>
    <w:sectPr>
      <w:pgSz w:w="11906" w:h="16838"/>
      <w:pgMar w:top="1985" w:right="1588" w:bottom="215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825B8A"/>
    <w:rsid w:val="7BDBB1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tblPr>
      <w:tblStyle w:val="2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chenjian</dc:creator>
  <cp:lastModifiedBy>彭云龙</cp:lastModifiedBy>
  <dcterms:modified xsi:type="dcterms:W3CDTF">2026-06-22T08:56:34Z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F381B0D20225840A4288386A196336DF_42</vt:lpwstr>
  </property>
</Properties>
</file>